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373A" w14:textId="13216495" w:rsidR="003642A1" w:rsidRDefault="00721A36" w:rsidP="00CF3F12">
      <w:pPr>
        <w:spacing w:after="0" w:line="240" w:lineRule="auto"/>
        <w:rPr>
          <w:b/>
          <w:bCs/>
        </w:rPr>
      </w:pPr>
      <w:r>
        <w:rPr>
          <w:b/>
          <w:bCs/>
          <w:noProof/>
        </w:rPr>
        <w:drawing>
          <wp:anchor distT="0" distB="0" distL="114300" distR="114300" simplePos="0" relativeHeight="251672576" behindDoc="0" locked="0" layoutInCell="1" allowOverlap="1" wp14:anchorId="1DEC1D3E" wp14:editId="2E9E41E6">
            <wp:simplePos x="0" y="0"/>
            <wp:positionH relativeFrom="margin">
              <wp:posOffset>4997450</wp:posOffset>
            </wp:positionH>
            <wp:positionV relativeFrom="paragraph">
              <wp:posOffset>-869950</wp:posOffset>
            </wp:positionV>
            <wp:extent cx="1587500" cy="1587500"/>
            <wp:effectExtent l="0" t="0" r="0" b="0"/>
            <wp:wrapNone/>
            <wp:docPr id="1052284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500" cy="1587500"/>
                    </a:xfrm>
                    <a:prstGeom prst="rect">
                      <a:avLst/>
                    </a:prstGeom>
                    <a:noFill/>
                  </pic:spPr>
                </pic:pic>
              </a:graphicData>
            </a:graphic>
            <wp14:sizeRelH relativeFrom="page">
              <wp14:pctWidth>0</wp14:pctWidth>
            </wp14:sizeRelH>
            <wp14:sizeRelV relativeFrom="page">
              <wp14:pctHeight>0</wp14:pctHeight>
            </wp14:sizeRelV>
          </wp:anchor>
        </w:drawing>
      </w:r>
      <w:r w:rsidR="003642A1">
        <w:rPr>
          <w:b/>
          <w:bCs/>
        </w:rPr>
        <w:t xml:space="preserve">Central Bedfordshire Safeguarding Children Partnership </w:t>
      </w:r>
    </w:p>
    <w:p w14:paraId="670B7700" w14:textId="1F351E90" w:rsidR="002028C9" w:rsidRDefault="002028C9" w:rsidP="00CF3F12">
      <w:pPr>
        <w:spacing w:after="0" w:line="240" w:lineRule="auto"/>
        <w:rPr>
          <w:b/>
          <w:bCs/>
        </w:rPr>
      </w:pPr>
      <w:r w:rsidRPr="002028C9">
        <w:rPr>
          <w:b/>
          <w:bCs/>
        </w:rPr>
        <w:t>Annual Report 2024-25</w:t>
      </w:r>
    </w:p>
    <w:p w14:paraId="3FF72971" w14:textId="77777777" w:rsidR="002028C9" w:rsidRDefault="002028C9" w:rsidP="00CF3F12">
      <w:pPr>
        <w:spacing w:after="0" w:line="240" w:lineRule="auto"/>
        <w:rPr>
          <w:b/>
          <w:bCs/>
        </w:rPr>
      </w:pPr>
    </w:p>
    <w:p w14:paraId="44565D78" w14:textId="05E875A1" w:rsidR="002028C9" w:rsidRDefault="001D2EA2" w:rsidP="00CF3F12">
      <w:pPr>
        <w:spacing w:after="0" w:line="240" w:lineRule="auto"/>
        <w:rPr>
          <w:b/>
          <w:bCs/>
        </w:rPr>
      </w:pPr>
      <w:r>
        <w:rPr>
          <w:b/>
          <w:bCs/>
        </w:rPr>
        <w:t xml:space="preserve">Partnership </w:t>
      </w:r>
      <w:r w:rsidR="002028C9">
        <w:rPr>
          <w:b/>
          <w:bCs/>
        </w:rPr>
        <w:t>For</w:t>
      </w:r>
      <w:r>
        <w:rPr>
          <w:b/>
          <w:bCs/>
        </w:rPr>
        <w:t>eword</w:t>
      </w:r>
      <w:r w:rsidR="005B0629">
        <w:rPr>
          <w:b/>
          <w:bCs/>
        </w:rPr>
        <w:t>:</w:t>
      </w:r>
    </w:p>
    <w:p w14:paraId="208942AC" w14:textId="77777777" w:rsidR="008316D1" w:rsidRPr="008316D1" w:rsidRDefault="008316D1" w:rsidP="008316D1">
      <w:pPr>
        <w:spacing w:after="0" w:line="240" w:lineRule="auto"/>
      </w:pPr>
      <w:r w:rsidRPr="008316D1">
        <w:t>Welcome to this year’s Central Bedfordshire Safeguarding Children Partnership’s Annual Report.</w:t>
      </w:r>
    </w:p>
    <w:p w14:paraId="395A8538" w14:textId="77777777" w:rsidR="008316D1" w:rsidRPr="008316D1" w:rsidRDefault="008316D1" w:rsidP="008316D1">
      <w:pPr>
        <w:spacing w:after="0" w:line="240" w:lineRule="auto"/>
      </w:pPr>
    </w:p>
    <w:p w14:paraId="4CCF8FD5" w14:textId="77777777" w:rsidR="008316D1" w:rsidRPr="008316D1" w:rsidRDefault="008316D1" w:rsidP="008316D1">
      <w:pPr>
        <w:spacing w:after="0" w:line="240" w:lineRule="auto"/>
      </w:pPr>
      <w:r w:rsidRPr="008316D1">
        <w:t>This report is a testament to the dedication and commitment of practitioners across our multi-agency partnership, and it reflects the genuine collaboration and shared purpose demonstrated by our partners at every level. The effort that has gone into producing this report mirrors the hard work and passion that underpin our safeguarding practice throughout the year.</w:t>
      </w:r>
    </w:p>
    <w:p w14:paraId="51CDC5EE" w14:textId="77777777" w:rsidR="008316D1" w:rsidRPr="008316D1" w:rsidRDefault="008316D1" w:rsidP="008316D1">
      <w:pPr>
        <w:spacing w:after="0" w:line="240" w:lineRule="auto"/>
      </w:pPr>
    </w:p>
    <w:p w14:paraId="5E2F1659" w14:textId="77777777" w:rsidR="008316D1" w:rsidRPr="008316D1" w:rsidRDefault="008316D1" w:rsidP="008316D1">
      <w:pPr>
        <w:spacing w:after="0" w:line="240" w:lineRule="auto"/>
      </w:pPr>
      <w:r w:rsidRPr="008316D1">
        <w:t>Over the past twelve months, we have much to celebrate. Notable achievements include a significant increase in our quality assurance and audit activity, the successful development of our multi-agency chronologies pilot, and the initial implementation of our new joint multi-agency supervisions. These milestones highlight our ongoing drive for innovation and improvement in safeguarding practice.</w:t>
      </w:r>
    </w:p>
    <w:p w14:paraId="4F793AD5" w14:textId="77777777" w:rsidR="008316D1" w:rsidRPr="008316D1" w:rsidRDefault="008316D1" w:rsidP="008316D1">
      <w:pPr>
        <w:spacing w:after="0" w:line="240" w:lineRule="auto"/>
      </w:pPr>
    </w:p>
    <w:p w14:paraId="78D2E9CC" w14:textId="77777777" w:rsidR="008316D1" w:rsidRPr="008316D1" w:rsidRDefault="008316D1" w:rsidP="008316D1">
      <w:pPr>
        <w:spacing w:after="0" w:line="240" w:lineRule="auto"/>
      </w:pPr>
      <w:r w:rsidRPr="008316D1">
        <w:t>However, our journey has also been one of learning and reflection. Through rapid reviews and safeguarding practice reviews, we have identified important lessons that will shape our future work. Embedding this learning across the partnership remains a key priority, ensuring that we continually strengthen our approach and adapt to emerging challenges.</w:t>
      </w:r>
    </w:p>
    <w:p w14:paraId="43423976" w14:textId="77777777" w:rsidR="008316D1" w:rsidRPr="008316D1" w:rsidRDefault="008316D1" w:rsidP="008316D1">
      <w:pPr>
        <w:spacing w:after="0" w:line="240" w:lineRule="auto"/>
      </w:pPr>
    </w:p>
    <w:p w14:paraId="4E6030F1" w14:textId="2619B505" w:rsidR="008316D1" w:rsidRDefault="008316D1" w:rsidP="008316D1">
      <w:pPr>
        <w:spacing w:after="0" w:line="240" w:lineRule="auto"/>
      </w:pPr>
      <w:r w:rsidRPr="008316D1">
        <w:t>Looking ahead, our focus must remain on working together to safeguard children and young people. As a partnership, we are committed to developing robust ways to measure the impact and effectiveness of our work, so that we can be confident the Partnership is making a real and lasting difference to the lives of children and families in Central Bedfordshire</w:t>
      </w:r>
    </w:p>
    <w:p w14:paraId="2CA53964" w14:textId="77777777" w:rsidR="008316D1" w:rsidRDefault="008316D1" w:rsidP="008316D1">
      <w:pPr>
        <w:spacing w:after="0" w:line="240" w:lineRule="auto"/>
      </w:pPr>
    </w:p>
    <w:p w14:paraId="2355DE3B" w14:textId="45A96881" w:rsidR="008316D1" w:rsidRPr="00AB6B76" w:rsidRDefault="008316D1" w:rsidP="008316D1">
      <w:pPr>
        <w:spacing w:after="0" w:line="240" w:lineRule="auto"/>
        <w:rPr>
          <w:b/>
          <w:bCs/>
        </w:rPr>
      </w:pPr>
      <w:r w:rsidRPr="00AB6B76">
        <w:rPr>
          <w:b/>
          <w:bCs/>
        </w:rPr>
        <w:t>Amana Gordon, Director of Children and Families</w:t>
      </w:r>
      <w:r w:rsidR="001C79ED" w:rsidRPr="00AB6B76">
        <w:rPr>
          <w:b/>
          <w:bCs/>
        </w:rPr>
        <w:t>, Central Bedfordshire Council</w:t>
      </w:r>
    </w:p>
    <w:p w14:paraId="1909C278" w14:textId="330ECFC3" w:rsidR="001C79ED" w:rsidRPr="00AB6B76" w:rsidRDefault="00455339" w:rsidP="008316D1">
      <w:pPr>
        <w:spacing w:after="0" w:line="240" w:lineRule="auto"/>
        <w:rPr>
          <w:b/>
          <w:bCs/>
        </w:rPr>
      </w:pPr>
      <w:r w:rsidRPr="00AB6B76">
        <w:rPr>
          <w:b/>
          <w:bCs/>
        </w:rPr>
        <w:t xml:space="preserve">Assistant </w:t>
      </w:r>
      <w:r w:rsidR="00223395" w:rsidRPr="00AB6B76">
        <w:rPr>
          <w:b/>
          <w:bCs/>
        </w:rPr>
        <w:t xml:space="preserve">Chief Constable John Murphy, Bedfordshire Police </w:t>
      </w:r>
    </w:p>
    <w:p w14:paraId="5A4C1DE7" w14:textId="2595BE94" w:rsidR="00DB218E" w:rsidRPr="00AB6B76" w:rsidRDefault="00DB218E" w:rsidP="008316D1">
      <w:pPr>
        <w:spacing w:after="0" w:line="240" w:lineRule="auto"/>
        <w:rPr>
          <w:b/>
          <w:bCs/>
        </w:rPr>
      </w:pPr>
      <w:r w:rsidRPr="00AB6B76">
        <w:rPr>
          <w:b/>
          <w:bCs/>
        </w:rPr>
        <w:t>Sarah Stanley</w:t>
      </w:r>
      <w:r w:rsidR="00CF7C37" w:rsidRPr="00AB6B76">
        <w:rPr>
          <w:b/>
          <w:bCs/>
        </w:rPr>
        <w:t>, Chief Nurse, BLMK ICB</w:t>
      </w:r>
    </w:p>
    <w:p w14:paraId="2EB73413" w14:textId="40053C00" w:rsidR="00223395" w:rsidRPr="008316D1" w:rsidRDefault="00223395" w:rsidP="008316D1">
      <w:pPr>
        <w:spacing w:after="0" w:line="240" w:lineRule="auto"/>
      </w:pPr>
    </w:p>
    <w:p w14:paraId="7DF9E02E" w14:textId="77777777" w:rsidR="008316D1" w:rsidRDefault="008316D1" w:rsidP="00CF3F12">
      <w:pPr>
        <w:spacing w:after="0" w:line="240" w:lineRule="auto"/>
        <w:rPr>
          <w:b/>
          <w:bCs/>
        </w:rPr>
      </w:pPr>
    </w:p>
    <w:p w14:paraId="734F2246" w14:textId="77777777" w:rsidR="00F903E6" w:rsidRDefault="00F903E6" w:rsidP="00CF3F12">
      <w:pPr>
        <w:spacing w:after="0" w:line="240" w:lineRule="auto"/>
        <w:rPr>
          <w:b/>
          <w:bCs/>
        </w:rPr>
      </w:pPr>
    </w:p>
    <w:p w14:paraId="7417BB13" w14:textId="77777777" w:rsidR="00AB6B76" w:rsidRDefault="00AB6B76" w:rsidP="00CF3F12">
      <w:pPr>
        <w:spacing w:after="0" w:line="240" w:lineRule="auto"/>
        <w:rPr>
          <w:b/>
          <w:bCs/>
        </w:rPr>
      </w:pPr>
    </w:p>
    <w:p w14:paraId="765B57EF" w14:textId="77777777" w:rsidR="00AB6B76" w:rsidRDefault="00AB6B76" w:rsidP="00CF3F12">
      <w:pPr>
        <w:spacing w:after="0" w:line="240" w:lineRule="auto"/>
        <w:rPr>
          <w:b/>
          <w:bCs/>
        </w:rPr>
      </w:pPr>
    </w:p>
    <w:p w14:paraId="018E3130" w14:textId="77777777" w:rsidR="00AB6B76" w:rsidRDefault="00AB6B76" w:rsidP="00CF3F12">
      <w:pPr>
        <w:spacing w:after="0" w:line="240" w:lineRule="auto"/>
        <w:rPr>
          <w:b/>
          <w:bCs/>
        </w:rPr>
      </w:pPr>
    </w:p>
    <w:p w14:paraId="257DE1EB" w14:textId="77777777" w:rsidR="00AB6B76" w:rsidRDefault="00AB6B76" w:rsidP="00CF3F12">
      <w:pPr>
        <w:spacing w:after="0" w:line="240" w:lineRule="auto"/>
        <w:rPr>
          <w:b/>
          <w:bCs/>
        </w:rPr>
      </w:pPr>
    </w:p>
    <w:p w14:paraId="58C224CB" w14:textId="77777777" w:rsidR="00AB6B76" w:rsidRDefault="00AB6B76" w:rsidP="00CF3F12">
      <w:pPr>
        <w:spacing w:after="0" w:line="240" w:lineRule="auto"/>
        <w:rPr>
          <w:b/>
          <w:bCs/>
        </w:rPr>
      </w:pPr>
    </w:p>
    <w:p w14:paraId="47EA97DA" w14:textId="77777777" w:rsidR="00AB6B76" w:rsidRDefault="00AB6B76" w:rsidP="00CF3F12">
      <w:pPr>
        <w:spacing w:after="0" w:line="240" w:lineRule="auto"/>
        <w:rPr>
          <w:b/>
          <w:bCs/>
        </w:rPr>
      </w:pPr>
    </w:p>
    <w:p w14:paraId="0F76BA22" w14:textId="77777777" w:rsidR="00AB6B76" w:rsidRDefault="00AB6B76" w:rsidP="00CF3F12">
      <w:pPr>
        <w:spacing w:after="0" w:line="240" w:lineRule="auto"/>
        <w:rPr>
          <w:b/>
          <w:bCs/>
        </w:rPr>
      </w:pPr>
    </w:p>
    <w:p w14:paraId="2671DE23" w14:textId="77777777" w:rsidR="00AB6B76" w:rsidRDefault="00AB6B76" w:rsidP="00CF3F12">
      <w:pPr>
        <w:spacing w:after="0" w:line="240" w:lineRule="auto"/>
        <w:rPr>
          <w:b/>
          <w:bCs/>
        </w:rPr>
      </w:pPr>
    </w:p>
    <w:p w14:paraId="00D7732E" w14:textId="77777777" w:rsidR="00AB6B76" w:rsidRDefault="00AB6B76" w:rsidP="00CF3F12">
      <w:pPr>
        <w:spacing w:after="0" w:line="240" w:lineRule="auto"/>
        <w:rPr>
          <w:b/>
          <w:bCs/>
        </w:rPr>
      </w:pPr>
    </w:p>
    <w:p w14:paraId="5D20A526" w14:textId="77777777" w:rsidR="00AB6B76" w:rsidRDefault="00AB6B76" w:rsidP="00CF3F12">
      <w:pPr>
        <w:spacing w:after="0" w:line="240" w:lineRule="auto"/>
        <w:rPr>
          <w:b/>
          <w:bCs/>
        </w:rPr>
      </w:pPr>
    </w:p>
    <w:p w14:paraId="021BB36D" w14:textId="646A4D34" w:rsidR="00F903E6" w:rsidRPr="006E6F88" w:rsidRDefault="00F903E6" w:rsidP="00CF3F12">
      <w:pPr>
        <w:spacing w:after="0" w:line="240" w:lineRule="auto"/>
        <w:rPr>
          <w:b/>
          <w:bCs/>
        </w:rPr>
      </w:pPr>
      <w:r w:rsidRPr="006E6F88">
        <w:rPr>
          <w:b/>
          <w:bCs/>
        </w:rPr>
        <w:lastRenderedPageBreak/>
        <w:t>Independent Scrutineer Foreword:</w:t>
      </w:r>
    </w:p>
    <w:p w14:paraId="50CF771F" w14:textId="77777777" w:rsidR="00AC12FB" w:rsidRPr="006E6F88" w:rsidRDefault="00AC12FB" w:rsidP="00AC12FB">
      <w:pPr>
        <w:spacing w:after="0" w:line="240" w:lineRule="auto"/>
        <w:rPr>
          <w:rFonts w:eastAsiaTheme="majorEastAsia" w:cstheme="majorBidi"/>
        </w:rPr>
      </w:pPr>
      <w:r w:rsidRPr="006E6F88">
        <w:rPr>
          <w:rFonts w:eastAsiaTheme="majorEastAsia" w:cstheme="majorBidi"/>
        </w:rPr>
        <w:t xml:space="preserve">I am pleased to provide this foreword as the newly appointed Independent Scrutineer for the Central Bedfordshire Safeguarding Children Partnership (CBSCP). Since taking up this role, I have been impressed by the commitment, professionalism, and collaborative ethos that </w:t>
      </w:r>
      <w:bookmarkStart w:id="0" w:name="_Int_g1jbauxA"/>
      <w:r w:rsidRPr="006E6F88">
        <w:rPr>
          <w:rFonts w:eastAsiaTheme="majorEastAsia" w:cstheme="majorBidi"/>
        </w:rPr>
        <w:t>characterise</w:t>
      </w:r>
      <w:bookmarkEnd w:id="0"/>
      <w:r w:rsidRPr="006E6F88">
        <w:rPr>
          <w:rFonts w:eastAsiaTheme="majorEastAsia" w:cstheme="majorBidi"/>
        </w:rPr>
        <w:t xml:space="preserve"> the Partnership’s work. This annual report reflects both the challenges we face, and the progress made in safeguarding children and young people, while also highlighting the opportunities ahead to strengthen our collective impact.</w:t>
      </w:r>
    </w:p>
    <w:p w14:paraId="726798C3" w14:textId="77777777" w:rsidR="00AC12FB" w:rsidRPr="006E6F88" w:rsidRDefault="00AC12FB" w:rsidP="00AC12FB">
      <w:pPr>
        <w:spacing w:after="0" w:line="240" w:lineRule="auto"/>
        <w:rPr>
          <w:rFonts w:eastAsiaTheme="majorEastAsia" w:cstheme="majorBidi"/>
        </w:rPr>
      </w:pPr>
    </w:p>
    <w:p w14:paraId="4219C3EB" w14:textId="77777777" w:rsidR="00AC12FB" w:rsidRPr="006E6F88" w:rsidRDefault="00AC12FB" w:rsidP="00AC12FB">
      <w:pPr>
        <w:spacing w:after="0" w:line="240" w:lineRule="auto"/>
        <w:rPr>
          <w:rFonts w:eastAsiaTheme="majorEastAsia" w:cstheme="majorBidi"/>
        </w:rPr>
      </w:pPr>
      <w:r w:rsidRPr="006E6F88">
        <w:rPr>
          <w:rFonts w:eastAsiaTheme="majorEastAsia" w:cstheme="majorBidi"/>
        </w:rPr>
        <w:t xml:space="preserve">The role of Independent Scrutineer, as outlined in </w:t>
      </w:r>
      <w:r w:rsidRPr="006E6F88">
        <w:rPr>
          <w:rFonts w:eastAsiaTheme="majorEastAsia" w:cstheme="majorBidi"/>
          <w:i/>
          <w:iCs/>
        </w:rPr>
        <w:t>Working Together</w:t>
      </w:r>
      <w:r w:rsidRPr="006E6F88">
        <w:rPr>
          <w:rFonts w:eastAsiaTheme="majorEastAsia" w:cstheme="majorBidi"/>
        </w:rPr>
        <w:t xml:space="preserve"> 2023, is to provide rigorous, evidence-based challenge and assurance across strategic and operational levels. My focus is on driving continuous improvement, ensuring statutory duties are fulfilled, and embedding learning from both local and national reviews. Central to this is amplifying the voice and lived experience of children, young people, and their families—ensuring their perspectives inform policy, practice, and strategic direction., as well as ensuring that the voice and experience of practice is heard and is reflected in practice, policy, and strategy development. The safeguarding landscape is increasingly complex, shaped by societal and cost pressures, emerging risks, and evolving practice. In Central Bedfordshire, the Partnership has responded with agility and purpose. However, scrutiny must remain sharp and forward-looking to ensure every child is seen, heard, and protected.</w:t>
      </w:r>
    </w:p>
    <w:p w14:paraId="06FE83F8" w14:textId="77777777" w:rsidR="00F903E6" w:rsidRPr="006E6F88" w:rsidRDefault="00F903E6" w:rsidP="00AC12FB">
      <w:pPr>
        <w:spacing w:after="0" w:line="240" w:lineRule="auto"/>
        <w:rPr>
          <w:rFonts w:eastAsiaTheme="majorEastAsia" w:cstheme="majorBidi"/>
        </w:rPr>
      </w:pPr>
    </w:p>
    <w:p w14:paraId="717DE3A3" w14:textId="77777777" w:rsidR="00AC12FB" w:rsidRPr="006E6F88" w:rsidRDefault="00AC12FB" w:rsidP="00AC12FB">
      <w:pPr>
        <w:spacing w:after="0" w:line="240" w:lineRule="auto"/>
        <w:rPr>
          <w:rFonts w:eastAsiaTheme="majorEastAsia" w:cstheme="majorBidi"/>
          <w:b/>
          <w:bCs/>
        </w:rPr>
      </w:pPr>
      <w:r w:rsidRPr="006E6F88">
        <w:rPr>
          <w:rFonts w:eastAsiaTheme="majorEastAsia" w:cstheme="majorBidi"/>
          <w:b/>
          <w:bCs/>
        </w:rPr>
        <w:t>Key Themes and Observations</w:t>
      </w:r>
    </w:p>
    <w:p w14:paraId="0592D92F" w14:textId="77777777" w:rsidR="00AC12FB" w:rsidRPr="006E6F88" w:rsidRDefault="00AC12FB" w:rsidP="00AC12FB">
      <w:pPr>
        <w:spacing w:after="0" w:line="240" w:lineRule="auto"/>
        <w:rPr>
          <w:rFonts w:eastAsiaTheme="majorEastAsia" w:cstheme="majorBidi"/>
        </w:rPr>
      </w:pPr>
      <w:r w:rsidRPr="006E6F88">
        <w:rPr>
          <w:rFonts w:eastAsiaTheme="majorEastAsia" w:cstheme="majorBidi"/>
        </w:rPr>
        <w:t>Neglect remains a persistent concern. The ongoing review of early help pathways and thresholds is a positive step, and scrutiny will focus on whether these changes lead to timely, proportionate, and effective intervention—particularly in supporting emotional wellbeing and preventing escalation into statutory services.</w:t>
      </w:r>
    </w:p>
    <w:p w14:paraId="031BB191" w14:textId="77777777" w:rsidR="006B507C" w:rsidRPr="006E6F88" w:rsidRDefault="006B507C" w:rsidP="00AC12FB">
      <w:pPr>
        <w:spacing w:after="0" w:line="240" w:lineRule="auto"/>
        <w:rPr>
          <w:rFonts w:eastAsiaTheme="majorEastAsia" w:cstheme="majorBidi"/>
        </w:rPr>
      </w:pPr>
    </w:p>
    <w:p w14:paraId="6DA28204" w14:textId="77777777" w:rsidR="00AC12FB" w:rsidRPr="006E6F88" w:rsidRDefault="00AC12FB" w:rsidP="00AC12FB">
      <w:pPr>
        <w:spacing w:after="0" w:line="240" w:lineRule="auto"/>
        <w:rPr>
          <w:rFonts w:eastAsiaTheme="majorEastAsia" w:cstheme="majorBidi"/>
        </w:rPr>
      </w:pPr>
      <w:r w:rsidRPr="006E6F88">
        <w:rPr>
          <w:rFonts w:eastAsiaTheme="majorEastAsia" w:cstheme="majorBidi"/>
        </w:rPr>
        <w:t>Contextual safeguarding, including peer-on-peer exploitation and online harm, continues to demand attention. Police-led disruption and school-based interventions are commendable, but a more strategic, joined-up approach is needed to address the increasing complexity of online risks.</w:t>
      </w:r>
    </w:p>
    <w:p w14:paraId="0408DC35" w14:textId="77777777" w:rsidR="006B507C" w:rsidRPr="006E6F88" w:rsidRDefault="006B507C" w:rsidP="00AC12FB">
      <w:pPr>
        <w:spacing w:after="0" w:line="240" w:lineRule="auto"/>
        <w:rPr>
          <w:rFonts w:eastAsiaTheme="majorEastAsia" w:cstheme="majorBidi"/>
        </w:rPr>
      </w:pPr>
    </w:p>
    <w:p w14:paraId="0E62B829" w14:textId="77777777" w:rsidR="00AC12FB" w:rsidRPr="006E6F88" w:rsidRDefault="00AC12FB" w:rsidP="00AC12FB">
      <w:pPr>
        <w:spacing w:after="0" w:line="240" w:lineRule="auto"/>
        <w:rPr>
          <w:rFonts w:eastAsiaTheme="majorEastAsia" w:cstheme="majorBidi"/>
        </w:rPr>
      </w:pPr>
      <w:r w:rsidRPr="006E6F88">
        <w:rPr>
          <w:rFonts w:eastAsiaTheme="majorEastAsia" w:cstheme="majorBidi"/>
        </w:rPr>
        <w:t>Mental health and emotional wellbeing are central to safeguarding practice. Integrated models involving CAMHS and Early Help have received encouraging feedback, and scrutiny will assess their effectiveness in meeting the growing complexity of family needs, often exacerbated by socio-economic pressures.</w:t>
      </w:r>
    </w:p>
    <w:p w14:paraId="5D91AE63" w14:textId="77777777" w:rsidR="006B507C" w:rsidRPr="006E6F88" w:rsidRDefault="006B507C" w:rsidP="00AC12FB">
      <w:pPr>
        <w:spacing w:after="0" w:line="240" w:lineRule="auto"/>
        <w:rPr>
          <w:rFonts w:eastAsiaTheme="majorEastAsia" w:cstheme="majorBidi"/>
        </w:rPr>
      </w:pPr>
    </w:p>
    <w:p w14:paraId="7C3FB52A" w14:textId="77777777" w:rsidR="00AC12FB" w:rsidRPr="006E6F88" w:rsidRDefault="00AC12FB" w:rsidP="00AC12FB">
      <w:pPr>
        <w:spacing w:after="0" w:line="240" w:lineRule="auto"/>
        <w:rPr>
          <w:rFonts w:eastAsiaTheme="majorEastAsia" w:cstheme="majorBidi"/>
        </w:rPr>
      </w:pPr>
      <w:r w:rsidRPr="006E6F88">
        <w:rPr>
          <w:rFonts w:eastAsiaTheme="majorEastAsia" w:cstheme="majorBidi"/>
        </w:rPr>
        <w:t>Child Sexual Abuse (CSA) remains a priority. The pan-Bedfordshire CSA Steering Group provides good multi-agency leadership, and the rollout of trauma-informed training and CSA pathway tools are examples of good practice. The forthcoming Joint Targeted Area Inspection (JTAI) on CSA in the family environment will be a key moment for reflection and learning.</w:t>
      </w:r>
    </w:p>
    <w:p w14:paraId="3315F5E8" w14:textId="77777777" w:rsidR="00AC12FB" w:rsidRPr="006E6F88" w:rsidRDefault="00AC12FB" w:rsidP="00AC12FB">
      <w:pPr>
        <w:spacing w:after="0" w:line="240" w:lineRule="auto"/>
        <w:rPr>
          <w:rFonts w:eastAsiaTheme="majorEastAsia" w:cstheme="majorBidi"/>
        </w:rPr>
      </w:pPr>
      <w:r w:rsidRPr="006E6F88">
        <w:rPr>
          <w:rFonts w:eastAsiaTheme="majorEastAsia" w:cstheme="majorBidi"/>
        </w:rPr>
        <w:t>The voice of the child must be more consistently embedded in our safeguarding system. Plans to establish focus groups with children and parents are a welcome development. Scrutiny will ensure that their lived experiences inform service design and delivery, making practice more responsive and respectful.</w:t>
      </w:r>
    </w:p>
    <w:p w14:paraId="140E3CE2" w14:textId="77777777" w:rsidR="006B507C" w:rsidRPr="006E6F88" w:rsidRDefault="006B507C" w:rsidP="00AC12FB">
      <w:pPr>
        <w:spacing w:after="0" w:line="240" w:lineRule="auto"/>
        <w:rPr>
          <w:rFonts w:eastAsiaTheme="majorEastAsia" w:cstheme="majorBidi"/>
        </w:rPr>
      </w:pPr>
    </w:p>
    <w:p w14:paraId="6C87A39D" w14:textId="77777777" w:rsidR="00AC12FB" w:rsidRPr="006E6F88" w:rsidRDefault="00AC12FB" w:rsidP="00AC12FB">
      <w:pPr>
        <w:spacing w:after="0" w:line="240" w:lineRule="auto"/>
        <w:rPr>
          <w:rFonts w:eastAsiaTheme="majorEastAsia" w:cstheme="majorBidi"/>
        </w:rPr>
      </w:pPr>
      <w:r w:rsidRPr="006E6F88">
        <w:rPr>
          <w:rFonts w:eastAsiaTheme="majorEastAsia" w:cstheme="majorBidi"/>
        </w:rPr>
        <w:t>The Partnership culture is collaborative, and improvement focused. However, the impact of its work must be more clearly evidenced. The review of Multi-Agency Safeguarding Arrangements (MASA) presents an opportunity to sharpen strategic focus and ensure structures are fit for purpose.</w:t>
      </w:r>
    </w:p>
    <w:p w14:paraId="67483ECA" w14:textId="77777777" w:rsidR="006B507C" w:rsidRPr="006E6F88" w:rsidRDefault="006B507C" w:rsidP="00AC12FB">
      <w:pPr>
        <w:spacing w:after="0" w:line="240" w:lineRule="auto"/>
        <w:rPr>
          <w:rFonts w:eastAsiaTheme="majorEastAsia" w:cstheme="majorBidi"/>
        </w:rPr>
      </w:pPr>
    </w:p>
    <w:p w14:paraId="2A9CB22D" w14:textId="77777777" w:rsidR="00AC12FB" w:rsidRPr="006E6F88" w:rsidRDefault="00AC12FB" w:rsidP="00AC12FB">
      <w:pPr>
        <w:spacing w:after="0" w:line="240" w:lineRule="auto"/>
        <w:rPr>
          <w:rFonts w:eastAsiaTheme="majorEastAsia" w:cstheme="majorBidi"/>
        </w:rPr>
      </w:pPr>
      <w:r w:rsidRPr="006E6F88">
        <w:rPr>
          <w:rFonts w:eastAsiaTheme="majorEastAsia" w:cstheme="majorBidi"/>
        </w:rPr>
        <w:t>Embedding learning and demonstrating its impact remains an area for development. Strengthening the learning framework will be essential to ensure that insights from audits, reviews, and frontline feedback lead to tangible improvements. Additionally, scrutiny will assess how equity, equality, diversity, and inclusion (EEDI) are being addressed across safeguarding practice.</w:t>
      </w:r>
    </w:p>
    <w:p w14:paraId="6E1A79C0" w14:textId="77777777" w:rsidR="006B507C" w:rsidRPr="006E6F88" w:rsidRDefault="006B507C" w:rsidP="00AC12FB">
      <w:pPr>
        <w:spacing w:after="0" w:line="240" w:lineRule="auto"/>
        <w:rPr>
          <w:rFonts w:eastAsiaTheme="majorEastAsia" w:cstheme="majorBidi"/>
        </w:rPr>
      </w:pPr>
    </w:p>
    <w:p w14:paraId="586C30CD" w14:textId="77777777" w:rsidR="00AC12FB" w:rsidRPr="006E6F88" w:rsidRDefault="00AC12FB" w:rsidP="00AC12FB">
      <w:pPr>
        <w:spacing w:after="0" w:line="240" w:lineRule="auto"/>
        <w:rPr>
          <w:rFonts w:eastAsiaTheme="majorEastAsia" w:cstheme="majorBidi"/>
        </w:rPr>
      </w:pPr>
      <w:r w:rsidRPr="006E6F88">
        <w:rPr>
          <w:rFonts w:eastAsiaTheme="majorEastAsia" w:cstheme="majorBidi"/>
        </w:rPr>
        <w:t>Looking outward to national learning, including the work of the National Child Safeguarding Practice Review Panel, will enrich our local approach. A stronger focus on digital safeguarding is also essential, given the centrality of online life to children and young people.</w:t>
      </w:r>
    </w:p>
    <w:p w14:paraId="6D2DD43A" w14:textId="77777777" w:rsidR="006B507C" w:rsidRPr="006E6F88" w:rsidRDefault="006B507C" w:rsidP="00AC12FB">
      <w:pPr>
        <w:spacing w:after="0" w:line="240" w:lineRule="auto"/>
        <w:rPr>
          <w:rFonts w:eastAsiaTheme="majorEastAsia" w:cstheme="majorBidi"/>
        </w:rPr>
      </w:pPr>
    </w:p>
    <w:p w14:paraId="49991B1D" w14:textId="08BD9C9C" w:rsidR="00AC12FB" w:rsidRPr="006E6F88" w:rsidRDefault="00AC12FB" w:rsidP="00AC12FB">
      <w:pPr>
        <w:spacing w:after="0" w:line="240" w:lineRule="auto"/>
        <w:rPr>
          <w:rFonts w:eastAsiaTheme="majorEastAsia" w:cstheme="majorBidi"/>
          <w:b/>
          <w:bCs/>
        </w:rPr>
      </w:pPr>
      <w:r w:rsidRPr="006E6F88">
        <w:rPr>
          <w:rFonts w:eastAsiaTheme="majorEastAsia" w:cstheme="majorBidi"/>
          <w:b/>
          <w:bCs/>
        </w:rPr>
        <w:t>Priorities for Independent Scrutiny</w:t>
      </w:r>
    </w:p>
    <w:p w14:paraId="11B1FDEE" w14:textId="77777777" w:rsidR="00AC12FB" w:rsidRPr="006E6F88" w:rsidRDefault="00AC12FB" w:rsidP="006B507C">
      <w:pPr>
        <w:pStyle w:val="ListParagraph"/>
        <w:numPr>
          <w:ilvl w:val="0"/>
          <w:numId w:val="66"/>
        </w:numPr>
        <w:spacing w:after="0" w:line="240" w:lineRule="auto"/>
        <w:rPr>
          <w:rFonts w:eastAsiaTheme="majorEastAsia" w:cstheme="majorBidi"/>
        </w:rPr>
      </w:pPr>
      <w:r w:rsidRPr="006E6F88">
        <w:rPr>
          <w:rFonts w:eastAsiaTheme="majorEastAsia" w:cstheme="majorBidi"/>
        </w:rPr>
        <w:t>In line with statutory guidance, my priorities for the coming year include:</w:t>
      </w:r>
    </w:p>
    <w:p w14:paraId="77BA7655" w14:textId="77777777" w:rsidR="006B507C" w:rsidRPr="006E6F88" w:rsidRDefault="00AC12FB" w:rsidP="006B507C">
      <w:pPr>
        <w:pStyle w:val="ListParagraph"/>
        <w:numPr>
          <w:ilvl w:val="0"/>
          <w:numId w:val="66"/>
        </w:numPr>
        <w:spacing w:after="0" w:line="240" w:lineRule="auto"/>
        <w:rPr>
          <w:rFonts w:eastAsiaTheme="majorEastAsia" w:cstheme="majorBidi"/>
        </w:rPr>
      </w:pPr>
      <w:r w:rsidRPr="006E6F88">
        <w:rPr>
          <w:rFonts w:eastAsiaTheme="majorEastAsia" w:cstheme="majorBidi"/>
        </w:rPr>
        <w:t>Establishing practitioner and parent/child focus groups to capture lived experience and inform scrutiny.</w:t>
      </w:r>
    </w:p>
    <w:p w14:paraId="0DFA1EB1" w14:textId="77777777" w:rsidR="006B507C" w:rsidRPr="006E6F88" w:rsidRDefault="00AC12FB" w:rsidP="006B507C">
      <w:pPr>
        <w:pStyle w:val="ListParagraph"/>
        <w:numPr>
          <w:ilvl w:val="0"/>
          <w:numId w:val="66"/>
        </w:numPr>
        <w:spacing w:after="0" w:line="240" w:lineRule="auto"/>
        <w:rPr>
          <w:rFonts w:eastAsiaTheme="majorEastAsia" w:cstheme="majorBidi"/>
        </w:rPr>
      </w:pPr>
      <w:r w:rsidRPr="006E6F88">
        <w:rPr>
          <w:rFonts w:eastAsiaTheme="majorEastAsia" w:cstheme="majorBidi"/>
        </w:rPr>
        <w:t>Conducting thematic deep dives into areas such as strategy meetings, police powers out of hours, and non-accidental injury (NAI) cases.</w:t>
      </w:r>
    </w:p>
    <w:p w14:paraId="2FCBD172" w14:textId="77777777" w:rsidR="006B507C" w:rsidRPr="006E6F88" w:rsidRDefault="00AC12FB" w:rsidP="006B507C">
      <w:pPr>
        <w:pStyle w:val="ListParagraph"/>
        <w:numPr>
          <w:ilvl w:val="0"/>
          <w:numId w:val="66"/>
        </w:numPr>
        <w:spacing w:after="0" w:line="240" w:lineRule="auto"/>
        <w:rPr>
          <w:rFonts w:eastAsiaTheme="majorEastAsia" w:cstheme="majorBidi"/>
        </w:rPr>
      </w:pPr>
      <w:r w:rsidRPr="006E6F88">
        <w:rPr>
          <w:rFonts w:eastAsiaTheme="majorEastAsia" w:cstheme="majorBidi"/>
        </w:rPr>
        <w:t>Completing a review of MASA arrangements and supporting implementation while scrutinising progress.</w:t>
      </w:r>
    </w:p>
    <w:p w14:paraId="049A0E22" w14:textId="77777777" w:rsidR="006B507C" w:rsidRPr="006E6F88" w:rsidRDefault="00AC12FB" w:rsidP="006B507C">
      <w:pPr>
        <w:pStyle w:val="ListParagraph"/>
        <w:numPr>
          <w:ilvl w:val="0"/>
          <w:numId w:val="66"/>
        </w:numPr>
        <w:spacing w:after="0" w:line="240" w:lineRule="auto"/>
        <w:rPr>
          <w:rFonts w:eastAsiaTheme="majorEastAsia" w:cstheme="majorBidi"/>
        </w:rPr>
      </w:pPr>
      <w:r w:rsidRPr="006E6F88">
        <w:rPr>
          <w:rFonts w:eastAsiaTheme="majorEastAsia" w:cstheme="majorBidi"/>
        </w:rPr>
        <w:t>Enhancing scrutiny of early help effectiveness, particularly in relation to neglect and emotional wellbeing.</w:t>
      </w:r>
    </w:p>
    <w:p w14:paraId="0738FB20" w14:textId="77777777" w:rsidR="006B507C" w:rsidRPr="006E6F88" w:rsidRDefault="00AC12FB" w:rsidP="006B507C">
      <w:pPr>
        <w:pStyle w:val="ListParagraph"/>
        <w:numPr>
          <w:ilvl w:val="0"/>
          <w:numId w:val="66"/>
        </w:numPr>
        <w:spacing w:after="0" w:line="240" w:lineRule="auto"/>
        <w:rPr>
          <w:rFonts w:eastAsiaTheme="majorEastAsia" w:cstheme="majorBidi"/>
        </w:rPr>
      </w:pPr>
      <w:r w:rsidRPr="006E6F88">
        <w:rPr>
          <w:rFonts w:eastAsiaTheme="majorEastAsia" w:cstheme="majorBidi"/>
        </w:rPr>
        <w:t>Evaluating the impact of learning from Child Safeguarding Practice Reviews (CSPRs) and Rapid Reviews (RRs).</w:t>
      </w:r>
    </w:p>
    <w:p w14:paraId="7467577E" w14:textId="30069D05" w:rsidR="00AC12FB" w:rsidRPr="006E6F88" w:rsidRDefault="00AC12FB" w:rsidP="006B507C">
      <w:pPr>
        <w:pStyle w:val="ListParagraph"/>
        <w:numPr>
          <w:ilvl w:val="0"/>
          <w:numId w:val="66"/>
        </w:numPr>
        <w:spacing w:after="0" w:line="240" w:lineRule="auto"/>
        <w:rPr>
          <w:rFonts w:eastAsiaTheme="majorEastAsia" w:cstheme="majorBidi"/>
        </w:rPr>
      </w:pPr>
      <w:r w:rsidRPr="006E6F88">
        <w:rPr>
          <w:rFonts w:eastAsiaTheme="majorEastAsia" w:cstheme="majorBidi"/>
        </w:rPr>
        <w:t>Assessing the effectiveness of multi-agency safeguarding training, quality assurance mechanisms, and strategic leadership.</w:t>
      </w:r>
    </w:p>
    <w:p w14:paraId="2FF38B33" w14:textId="77777777" w:rsidR="006B507C" w:rsidRPr="006E6F88" w:rsidRDefault="006B507C" w:rsidP="00AC12FB">
      <w:pPr>
        <w:spacing w:after="0" w:line="240" w:lineRule="auto"/>
        <w:rPr>
          <w:rFonts w:eastAsiaTheme="majorEastAsia" w:cstheme="majorBidi"/>
        </w:rPr>
      </w:pPr>
    </w:p>
    <w:p w14:paraId="3B947A47" w14:textId="77777777" w:rsidR="00AC12FB" w:rsidRPr="006E6F88" w:rsidRDefault="00AC12FB" w:rsidP="00AC12FB">
      <w:pPr>
        <w:spacing w:after="0" w:line="240" w:lineRule="auto"/>
        <w:rPr>
          <w:rFonts w:eastAsiaTheme="majorEastAsia" w:cstheme="majorBidi"/>
        </w:rPr>
      </w:pPr>
      <w:r w:rsidRPr="006E6F88">
        <w:rPr>
          <w:rFonts w:eastAsiaTheme="majorEastAsia" w:cstheme="majorBidi"/>
        </w:rPr>
        <w:t>Scrutiny will be undertaken through a range of methods including interviews, focus groups, data analysis, and peer review, always ensuring that the voice and experience of children and families are central.</w:t>
      </w:r>
    </w:p>
    <w:p w14:paraId="2A4C2238" w14:textId="77777777" w:rsidR="006B507C" w:rsidRPr="006E6F88" w:rsidRDefault="006B507C" w:rsidP="00AC12FB">
      <w:pPr>
        <w:spacing w:after="0" w:line="240" w:lineRule="auto"/>
        <w:rPr>
          <w:rFonts w:eastAsiaTheme="majorEastAsia" w:cstheme="majorBidi"/>
        </w:rPr>
      </w:pPr>
    </w:p>
    <w:p w14:paraId="4A23D939" w14:textId="77777777" w:rsidR="00AC12FB" w:rsidRPr="006E6F88" w:rsidRDefault="00AC12FB" w:rsidP="00AC12FB">
      <w:pPr>
        <w:spacing w:after="0" w:line="240" w:lineRule="auto"/>
        <w:rPr>
          <w:rFonts w:eastAsiaTheme="majorEastAsia" w:cstheme="majorBidi"/>
        </w:rPr>
      </w:pPr>
      <w:r w:rsidRPr="006E6F88">
        <w:rPr>
          <w:rFonts w:eastAsiaTheme="majorEastAsia" w:cstheme="majorBidi"/>
        </w:rPr>
        <w:t xml:space="preserve">Safeguarding is a shared </w:t>
      </w:r>
      <w:bookmarkStart w:id="1" w:name="_Int_wdXHc1CK"/>
      <w:r w:rsidRPr="006E6F88">
        <w:rPr>
          <w:rFonts w:eastAsiaTheme="majorEastAsia" w:cstheme="majorBidi"/>
        </w:rPr>
        <w:t>endeavour</w:t>
      </w:r>
      <w:bookmarkEnd w:id="1"/>
      <w:r w:rsidRPr="006E6F88">
        <w:rPr>
          <w:rFonts w:eastAsiaTheme="majorEastAsia" w:cstheme="majorBidi"/>
        </w:rPr>
        <w:t xml:space="preserve"> that demands courage, curiosity, collaboration, and compassion. I look forward to working alongside all partners to ensure our collective efforts make a meaningful and measurable difference in the lives of children and families in Central Bedfordshire.</w:t>
      </w:r>
    </w:p>
    <w:p w14:paraId="5C513AF8" w14:textId="77777777" w:rsidR="00AC12FB" w:rsidRPr="006E6F88" w:rsidRDefault="00AC12FB" w:rsidP="00AC12FB">
      <w:pPr>
        <w:spacing w:after="0" w:line="240" w:lineRule="auto"/>
        <w:rPr>
          <w:rFonts w:eastAsiaTheme="majorEastAsia" w:cstheme="majorBidi"/>
        </w:rPr>
      </w:pPr>
    </w:p>
    <w:p w14:paraId="33501F13" w14:textId="77777777" w:rsidR="00AC12FB" w:rsidRPr="006E6F88" w:rsidRDefault="00AC12FB" w:rsidP="00AC12FB">
      <w:pPr>
        <w:spacing w:after="0" w:line="240" w:lineRule="auto"/>
        <w:rPr>
          <w:rFonts w:eastAsiaTheme="majorEastAsia" w:cstheme="majorBidi"/>
          <w:b/>
          <w:bCs/>
        </w:rPr>
      </w:pPr>
      <w:r w:rsidRPr="006E6F88">
        <w:rPr>
          <w:rFonts w:eastAsiaTheme="majorEastAsia" w:cstheme="majorBidi"/>
          <w:b/>
          <w:bCs/>
        </w:rPr>
        <w:t>Jon Brown</w:t>
      </w:r>
      <w:r w:rsidRPr="006E6F88">
        <w:rPr>
          <w:b/>
          <w:bCs/>
        </w:rPr>
        <w:br/>
      </w:r>
      <w:r w:rsidRPr="006E6F88">
        <w:rPr>
          <w:rFonts w:eastAsiaTheme="majorEastAsia" w:cstheme="majorBidi"/>
          <w:b/>
          <w:bCs/>
        </w:rPr>
        <w:t>Independent Scrutineer</w:t>
      </w:r>
      <w:r w:rsidRPr="006E6F88">
        <w:rPr>
          <w:b/>
          <w:bCs/>
        </w:rPr>
        <w:br/>
      </w:r>
      <w:r w:rsidRPr="006E6F88">
        <w:rPr>
          <w:rFonts w:eastAsiaTheme="majorEastAsia" w:cstheme="majorBidi"/>
          <w:b/>
          <w:bCs/>
        </w:rPr>
        <w:t>Central Bedfordshire Safeguarding Children Partnership</w:t>
      </w:r>
    </w:p>
    <w:p w14:paraId="57BC93C8" w14:textId="77777777" w:rsidR="001D2EA2" w:rsidRDefault="001D2EA2" w:rsidP="00CF3F12">
      <w:pPr>
        <w:spacing w:after="0" w:line="240" w:lineRule="auto"/>
        <w:rPr>
          <w:b/>
          <w:bCs/>
        </w:rPr>
      </w:pPr>
    </w:p>
    <w:p w14:paraId="56F60591" w14:textId="77777777" w:rsidR="006B507C" w:rsidRDefault="006B507C" w:rsidP="00721A36">
      <w:pPr>
        <w:spacing w:after="0" w:line="240" w:lineRule="auto"/>
        <w:rPr>
          <w:b/>
          <w:bCs/>
        </w:rPr>
      </w:pPr>
    </w:p>
    <w:p w14:paraId="2B2FF9C3" w14:textId="2FFEA468" w:rsidR="005B0629" w:rsidRPr="00721A36" w:rsidRDefault="002028C9" w:rsidP="00721A36">
      <w:pPr>
        <w:spacing w:after="0" w:line="240" w:lineRule="auto"/>
        <w:rPr>
          <w:b/>
          <w:bCs/>
        </w:rPr>
      </w:pPr>
      <w:r w:rsidRPr="002028C9">
        <w:rPr>
          <w:b/>
          <w:bCs/>
        </w:rPr>
        <w:t>Introduction to Central Bedfordshire</w:t>
      </w:r>
      <w:r w:rsidR="004E4FF1">
        <w:rPr>
          <w:b/>
          <w:bCs/>
        </w:rPr>
        <w:t>:</w:t>
      </w:r>
    </w:p>
    <w:p w14:paraId="6A8D735F" w14:textId="36F4028A" w:rsidR="005B0629" w:rsidRPr="005B0629" w:rsidRDefault="005B0629" w:rsidP="00CF3F12">
      <w:pPr>
        <w:spacing w:after="0" w:line="240" w:lineRule="auto"/>
        <w:rPr>
          <w:rFonts w:eastAsia="Times New Roman" w:cs="Calibri"/>
          <w:kern w:val="0"/>
          <w:lang w:eastAsia="en-GB"/>
          <w14:ligatures w14:val="none"/>
        </w:rPr>
      </w:pPr>
      <w:r w:rsidRPr="005B0629">
        <w:rPr>
          <w:rFonts w:eastAsia="Times New Roman" w:cs="Calibri"/>
          <w:kern w:val="0"/>
          <w:lang w:eastAsia="en-GB"/>
          <w14:ligatures w14:val="none"/>
        </w:rPr>
        <w:lastRenderedPageBreak/>
        <w:t xml:space="preserve">Central Bedfordshire has a growing population of </w:t>
      </w:r>
      <w:r w:rsidRPr="005B0629">
        <w:rPr>
          <w:rFonts w:eastAsia="Times New Roman" w:cs="Calibri"/>
          <w:kern w:val="0"/>
          <w:shd w:val="clear" w:color="auto" w:fill="FFFFFF"/>
          <w:lang w:eastAsia="en-GB"/>
          <w14:ligatures w14:val="none"/>
        </w:rPr>
        <w:t>307,200.</w:t>
      </w:r>
      <w:r w:rsidRPr="005B0629">
        <w:rPr>
          <w:rFonts w:eastAsia="Times New Roman" w:cs="Calibri"/>
          <w:kern w:val="0"/>
          <w:lang w:eastAsia="en-GB"/>
          <w14:ligatures w14:val="none"/>
        </w:rPr>
        <w:t xml:space="preserve"> </w:t>
      </w:r>
      <w:bookmarkStart w:id="2" w:name="_Hlk199404928"/>
      <w:r w:rsidRPr="005B0629">
        <w:rPr>
          <w:rFonts w:eastAsia="Times New Roman" w:cs="Calibri"/>
          <w:kern w:val="0"/>
          <w:shd w:val="clear" w:color="auto" w:fill="FFFFFF"/>
          <w:lang w:eastAsia="en-GB"/>
          <w14:ligatures w14:val="none"/>
        </w:rPr>
        <w:t>It is largely rural by area, with more than a third of the population living in rural areas and the rest in a number of market towns. </w:t>
      </w:r>
      <w:bookmarkEnd w:id="2"/>
      <w:r w:rsidRPr="005B0629">
        <w:rPr>
          <w:rFonts w:eastAsia="Times New Roman" w:cs="Calibri"/>
          <w:kern w:val="0"/>
          <w:shd w:val="clear" w:color="auto" w:fill="FFFFFF"/>
          <w:lang w:eastAsia="en-GB"/>
          <w14:ligatures w14:val="none"/>
        </w:rPr>
        <w:t xml:space="preserve">The area is generally prosperous, with above average levels of employment, however there are pockets of deprivation and greater need. </w:t>
      </w:r>
    </w:p>
    <w:p w14:paraId="4F8FF2EE" w14:textId="044F2A7F" w:rsidR="005B0629" w:rsidRPr="005B0629" w:rsidRDefault="005B0629" w:rsidP="00CF3F12">
      <w:pPr>
        <w:spacing w:after="0" w:line="240" w:lineRule="auto"/>
        <w:rPr>
          <w:rFonts w:eastAsia="Times New Roman" w:cs="Calibri"/>
          <w:kern w:val="0"/>
          <w:lang w:eastAsia="en-GB"/>
          <w14:ligatures w14:val="none"/>
        </w:rPr>
      </w:pPr>
    </w:p>
    <w:p w14:paraId="6067721F" w14:textId="69C058F3" w:rsidR="005B0629" w:rsidRPr="005B0629" w:rsidRDefault="005B0629" w:rsidP="00CF3F12">
      <w:pPr>
        <w:spacing w:after="0" w:line="240" w:lineRule="auto"/>
        <w:rPr>
          <w:rFonts w:eastAsia="Times New Roman" w:cs="Calibri"/>
          <w:kern w:val="0"/>
          <w:shd w:val="clear" w:color="auto" w:fill="FFFFFF"/>
          <w:lang w:eastAsia="en-GB"/>
          <w14:ligatures w14:val="none"/>
        </w:rPr>
      </w:pPr>
      <w:r w:rsidRPr="005B0629">
        <w:rPr>
          <w:rFonts w:eastAsia="Times New Roman" w:cs="Calibri"/>
          <w:kern w:val="0"/>
          <w:shd w:val="clear" w:color="auto" w:fill="FFFFFF"/>
          <w:lang w:eastAsia="en-GB"/>
          <w14:ligatures w14:val="none"/>
        </w:rPr>
        <w:t>Between 2013-2023, Central Bedfordshire’s population rose by 16.7%, this is above the average rate for England (7.0%) and among the fastest-growing areas in the country.</w:t>
      </w:r>
      <w:r w:rsidRPr="005B0629">
        <w:rPr>
          <w:rFonts w:eastAsia="Times New Roman" w:cs="Calibri"/>
          <w:kern w:val="0"/>
          <w:lang w:eastAsia="en-GB"/>
          <w14:ligatures w14:val="none"/>
        </w:rPr>
        <w:t xml:space="preserve"> By age group, over the same period, there was a 17.7% increase in children aged 0-17, a 13.4% increase in adults aged 18-64 and a 27.1% increase in older people aged 65+. </w:t>
      </w:r>
    </w:p>
    <w:p w14:paraId="7B91EB0C" w14:textId="77777777" w:rsidR="005B0629" w:rsidRPr="005B0629" w:rsidRDefault="005B0629" w:rsidP="00CF3F12">
      <w:pPr>
        <w:spacing w:after="0" w:line="240" w:lineRule="auto"/>
        <w:rPr>
          <w:rFonts w:eastAsia="Times New Roman" w:cs="Calibri"/>
          <w:kern w:val="0"/>
          <w:shd w:val="clear" w:color="auto" w:fill="FFFFFF"/>
          <w:lang w:eastAsia="en-GB"/>
          <w14:ligatures w14:val="none"/>
        </w:rPr>
      </w:pPr>
    </w:p>
    <w:p w14:paraId="27F318C2" w14:textId="69043294" w:rsidR="005B0629" w:rsidRPr="005B0629" w:rsidRDefault="005B0629" w:rsidP="00CF3F12">
      <w:pPr>
        <w:autoSpaceDE w:val="0"/>
        <w:autoSpaceDN w:val="0"/>
        <w:adjustRightInd w:val="0"/>
        <w:spacing w:after="0" w:line="240" w:lineRule="auto"/>
        <w:rPr>
          <w:rFonts w:eastAsia="Times New Roman" w:cs="Calibri"/>
          <w:kern w:val="0"/>
          <w:lang w:eastAsia="en-GB"/>
          <w14:ligatures w14:val="none"/>
        </w:rPr>
      </w:pPr>
      <w:r w:rsidRPr="005B0629">
        <w:rPr>
          <w:rFonts w:eastAsia="Times New Roman" w:cs="Calibri"/>
          <w:kern w:val="0"/>
          <w:lang w:eastAsia="en-GB"/>
          <w14:ligatures w14:val="none"/>
        </w:rPr>
        <w:t xml:space="preserve">Central Bedfordshire’s </w:t>
      </w:r>
      <w:hyperlink r:id="rId9" w:history="1">
        <w:r w:rsidRPr="005B0629">
          <w:rPr>
            <w:rFonts w:eastAsia="Times New Roman" w:cs="Calibri"/>
            <w:color w:val="0563C1"/>
            <w:kern w:val="0"/>
            <w:u w:val="single"/>
            <w:lang w:eastAsia="en-GB"/>
            <w14:ligatures w14:val="none"/>
          </w:rPr>
          <w:t>Census 2021 factsheet</w:t>
        </w:r>
      </w:hyperlink>
      <w:r w:rsidRPr="005B0629">
        <w:rPr>
          <w:rFonts w:eastAsia="Times New Roman" w:cs="Calibri"/>
          <w:kern w:val="0"/>
          <w:lang w:eastAsia="en-GB"/>
          <w14:ligatures w14:val="none"/>
        </w:rPr>
        <w:t xml:space="preserve"> provides information on the ethnicity of residents; White British (83.5%), White- Other (5.3%), Indian (1.6%), Black African (1.3%) White Irish (1.2%), and White/ Black Caribbean (1.1%). Over 95% of pupils of compulsory school age speak English as a first language. However, more than 60 different first languages are recorded among the remaining children.</w:t>
      </w:r>
    </w:p>
    <w:p w14:paraId="34098572" w14:textId="77777777" w:rsidR="005B0629" w:rsidRPr="005B0629" w:rsidRDefault="005B0629" w:rsidP="00CF3F12">
      <w:pPr>
        <w:spacing w:after="0" w:line="240" w:lineRule="auto"/>
        <w:rPr>
          <w:rFonts w:eastAsia="Times New Roman" w:cs="Calibri"/>
          <w:i/>
          <w:iCs/>
          <w:kern w:val="0"/>
          <w:shd w:val="clear" w:color="auto" w:fill="FFFFFF"/>
          <w:lang w:eastAsia="en-GB"/>
          <w14:ligatures w14:val="none"/>
        </w:rPr>
      </w:pPr>
    </w:p>
    <w:p w14:paraId="0F243721" w14:textId="77777777" w:rsidR="005B0629" w:rsidRDefault="005B0629" w:rsidP="00CF3F12">
      <w:pPr>
        <w:spacing w:after="0" w:line="240" w:lineRule="auto"/>
        <w:rPr>
          <w:rFonts w:eastAsia="Times New Roman" w:cs="Calibri"/>
          <w:kern w:val="0"/>
          <w:lang w:eastAsia="en-GB"/>
          <w14:ligatures w14:val="none"/>
        </w:rPr>
      </w:pPr>
      <w:r w:rsidRPr="005B0629">
        <w:rPr>
          <w:rFonts w:eastAsia="Times New Roman" w:cs="Calibri"/>
          <w:color w:val="1F2025"/>
          <w:kern w:val="0"/>
          <w:lang w:eastAsia="en-GB"/>
          <w14:ligatures w14:val="none"/>
        </w:rPr>
        <w:t xml:space="preserve">In 2024, the crime rate in Central Bedfordshire was lower than the average across similar areas. </w:t>
      </w:r>
      <w:r w:rsidRPr="005B0629">
        <w:rPr>
          <w:rFonts w:eastAsia="Times New Roman" w:cs="Calibri"/>
          <w:i/>
          <w:iCs/>
          <w:color w:val="1F2025"/>
          <w:kern w:val="0"/>
          <w:lang w:eastAsia="en-GB"/>
          <w14:ligatures w14:val="none"/>
        </w:rPr>
        <w:t xml:space="preserve">(Source: </w:t>
      </w:r>
      <w:hyperlink r:id="rId10" w:history="1">
        <w:r w:rsidRPr="005B0629">
          <w:rPr>
            <w:rFonts w:eastAsia="Times New Roman" w:cs="Calibri"/>
            <w:i/>
            <w:iCs/>
            <w:color w:val="0563C1"/>
            <w:kern w:val="0"/>
            <w:u w:val="single"/>
            <w:lang w:eastAsia="en-GB"/>
            <w14:ligatures w14:val="none"/>
          </w:rPr>
          <w:t>Police UK</w:t>
        </w:r>
      </w:hyperlink>
      <w:r w:rsidRPr="005B0629">
        <w:rPr>
          <w:rFonts w:eastAsia="Times New Roman" w:cs="Calibri"/>
          <w:i/>
          <w:iCs/>
          <w:color w:val="1F2025"/>
          <w:kern w:val="0"/>
          <w:lang w:eastAsia="en-GB"/>
          <w14:ligatures w14:val="none"/>
        </w:rPr>
        <w:t>).</w:t>
      </w:r>
      <w:r w:rsidRPr="005B0629">
        <w:rPr>
          <w:rFonts w:eastAsia="Times New Roman" w:cs="Calibri"/>
          <w:color w:val="7030A0"/>
          <w:kern w:val="0"/>
          <w:lang w:eastAsia="en-GB"/>
          <w14:ligatures w14:val="none"/>
        </w:rPr>
        <w:t xml:space="preserve"> </w:t>
      </w:r>
      <w:r w:rsidRPr="005B0629">
        <w:rPr>
          <w:rFonts w:eastAsia="Times New Roman" w:cs="Calibri"/>
          <w:kern w:val="0"/>
          <w:lang w:eastAsia="en-GB"/>
          <w14:ligatures w14:val="none"/>
        </w:rPr>
        <w:t xml:space="preserve">Life expectancy and overall health are both slightly better than the national average, and children are less likely to be obese. </w:t>
      </w:r>
      <w:r w:rsidRPr="005B0629">
        <w:rPr>
          <w:rFonts w:eastAsia="Times New Roman" w:cs="Calibri"/>
          <w:i/>
          <w:iCs/>
          <w:kern w:val="0"/>
          <w:lang w:eastAsia="en-GB"/>
          <w14:ligatures w14:val="none"/>
        </w:rPr>
        <w:t xml:space="preserve">(Source: </w:t>
      </w:r>
      <w:hyperlink r:id="rId11" w:anchor="/map" w:history="1">
        <w:r w:rsidRPr="005B0629">
          <w:rPr>
            <w:rStyle w:val="Hyperlink"/>
            <w:rFonts w:eastAsia="Times New Roman" w:cs="Calibri"/>
            <w:i/>
            <w:iCs/>
            <w:kern w:val="0"/>
            <w:lang w:eastAsia="en-GB"/>
            <w14:ligatures w14:val="none"/>
          </w:rPr>
          <w:t>Map | Local Insight</w:t>
        </w:r>
      </w:hyperlink>
      <w:r w:rsidRPr="005B0629">
        <w:rPr>
          <w:rFonts w:eastAsia="Times New Roman" w:cs="Calibri"/>
          <w:i/>
          <w:iCs/>
          <w:kern w:val="0"/>
          <w:lang w:eastAsia="en-GB"/>
          <w14:ligatures w14:val="none"/>
        </w:rPr>
        <w:t>, May 2025)</w:t>
      </w:r>
    </w:p>
    <w:p w14:paraId="369FD775" w14:textId="77777777" w:rsidR="005B0629" w:rsidRDefault="005B0629" w:rsidP="00CF3F12">
      <w:pPr>
        <w:spacing w:after="0" w:line="240" w:lineRule="auto"/>
        <w:rPr>
          <w:rFonts w:eastAsia="Times New Roman" w:cs="Calibri"/>
          <w:kern w:val="0"/>
          <w:lang w:eastAsia="en-GB"/>
          <w14:ligatures w14:val="none"/>
        </w:rPr>
      </w:pPr>
    </w:p>
    <w:p w14:paraId="65CB3FD2" w14:textId="77777777" w:rsidR="005B0629" w:rsidRDefault="005B0629" w:rsidP="00CF3F12">
      <w:pPr>
        <w:spacing w:after="0" w:line="240" w:lineRule="auto"/>
        <w:rPr>
          <w:rFonts w:eastAsia="Times New Roman" w:cs="Calibri"/>
          <w:b/>
          <w:bCs/>
          <w:kern w:val="0"/>
          <w:lang w:eastAsia="en-GB"/>
          <w14:ligatures w14:val="none"/>
        </w:rPr>
      </w:pPr>
    </w:p>
    <w:p w14:paraId="0BA82B0F" w14:textId="31B4F7D5" w:rsidR="005B0629" w:rsidRDefault="005B0629" w:rsidP="00CF3F12">
      <w:pPr>
        <w:spacing w:after="0" w:line="240" w:lineRule="auto"/>
        <w:rPr>
          <w:rFonts w:eastAsia="Times New Roman" w:cs="Calibri"/>
          <w:b/>
          <w:bCs/>
          <w:kern w:val="0"/>
          <w:lang w:eastAsia="en-GB"/>
          <w14:ligatures w14:val="none"/>
        </w:rPr>
      </w:pPr>
    </w:p>
    <w:p w14:paraId="09B51565" w14:textId="108AF0C4" w:rsidR="005B0629" w:rsidRDefault="005B0629" w:rsidP="00CF3F12">
      <w:pPr>
        <w:spacing w:after="0" w:line="240" w:lineRule="auto"/>
        <w:rPr>
          <w:rFonts w:eastAsia="Times New Roman" w:cs="Calibri"/>
          <w:b/>
          <w:bCs/>
          <w:kern w:val="0"/>
          <w:lang w:eastAsia="en-GB"/>
          <w14:ligatures w14:val="none"/>
        </w:rPr>
      </w:pPr>
    </w:p>
    <w:p w14:paraId="13432009" w14:textId="29EE7AE9" w:rsidR="005B0629" w:rsidRDefault="005B0629" w:rsidP="00CF3F12">
      <w:pPr>
        <w:spacing w:after="0" w:line="240" w:lineRule="auto"/>
        <w:rPr>
          <w:rFonts w:eastAsia="Times New Roman" w:cs="Calibri"/>
          <w:b/>
          <w:bCs/>
          <w:kern w:val="0"/>
          <w:lang w:eastAsia="en-GB"/>
          <w14:ligatures w14:val="none"/>
        </w:rPr>
      </w:pPr>
    </w:p>
    <w:p w14:paraId="12858DE5" w14:textId="27B9579A" w:rsidR="005B0629" w:rsidRDefault="005B0629" w:rsidP="00CF3F12">
      <w:pPr>
        <w:spacing w:after="0" w:line="240" w:lineRule="auto"/>
        <w:rPr>
          <w:rFonts w:eastAsia="Times New Roman" w:cs="Calibri"/>
          <w:b/>
          <w:bCs/>
          <w:kern w:val="0"/>
          <w:lang w:eastAsia="en-GB"/>
          <w14:ligatures w14:val="none"/>
        </w:rPr>
      </w:pPr>
    </w:p>
    <w:p w14:paraId="4C4C005B" w14:textId="2948031E" w:rsidR="005B0629" w:rsidRDefault="005B0629" w:rsidP="00CF3F12">
      <w:pPr>
        <w:spacing w:after="0" w:line="240" w:lineRule="auto"/>
        <w:rPr>
          <w:rFonts w:eastAsia="Times New Roman" w:cs="Calibri"/>
          <w:b/>
          <w:bCs/>
          <w:kern w:val="0"/>
          <w:lang w:eastAsia="en-GB"/>
          <w14:ligatures w14:val="none"/>
        </w:rPr>
      </w:pPr>
    </w:p>
    <w:p w14:paraId="63A08F38" w14:textId="02B7B586" w:rsidR="005B0629" w:rsidRDefault="005B0629" w:rsidP="00CF3F12">
      <w:pPr>
        <w:spacing w:after="0" w:line="240" w:lineRule="auto"/>
        <w:rPr>
          <w:rFonts w:eastAsia="Times New Roman" w:cs="Calibri"/>
          <w:b/>
          <w:bCs/>
          <w:kern w:val="0"/>
          <w:lang w:eastAsia="en-GB"/>
          <w14:ligatures w14:val="none"/>
        </w:rPr>
      </w:pPr>
    </w:p>
    <w:p w14:paraId="0FF86357" w14:textId="4A0403CF" w:rsidR="005B0629" w:rsidRDefault="005B0629" w:rsidP="00CF3F12">
      <w:pPr>
        <w:spacing w:after="0" w:line="240" w:lineRule="auto"/>
        <w:rPr>
          <w:rFonts w:eastAsia="Times New Roman" w:cs="Calibri"/>
          <w:b/>
          <w:bCs/>
          <w:kern w:val="0"/>
          <w:lang w:eastAsia="en-GB"/>
          <w14:ligatures w14:val="none"/>
        </w:rPr>
      </w:pPr>
    </w:p>
    <w:p w14:paraId="0E0FF5BE" w14:textId="1E0198D6" w:rsidR="005B0629" w:rsidRDefault="005B0629" w:rsidP="00CF3F12">
      <w:pPr>
        <w:spacing w:after="0" w:line="240" w:lineRule="auto"/>
        <w:rPr>
          <w:rFonts w:eastAsia="Times New Roman" w:cs="Calibri"/>
          <w:b/>
          <w:bCs/>
          <w:kern w:val="0"/>
          <w:lang w:eastAsia="en-GB"/>
          <w14:ligatures w14:val="none"/>
        </w:rPr>
      </w:pPr>
    </w:p>
    <w:p w14:paraId="3524A0BB" w14:textId="425116B2" w:rsidR="005B0629" w:rsidRDefault="005B0629" w:rsidP="00CF3F12">
      <w:pPr>
        <w:spacing w:after="0" w:line="240" w:lineRule="auto"/>
        <w:rPr>
          <w:rFonts w:eastAsia="Times New Roman" w:cs="Calibri"/>
          <w:b/>
          <w:bCs/>
          <w:kern w:val="0"/>
          <w:lang w:eastAsia="en-GB"/>
          <w14:ligatures w14:val="none"/>
        </w:rPr>
      </w:pPr>
    </w:p>
    <w:p w14:paraId="2C30556D" w14:textId="25DE8088" w:rsidR="005B0629" w:rsidRDefault="005B0629" w:rsidP="00CF3F12">
      <w:pPr>
        <w:spacing w:after="0" w:line="240" w:lineRule="auto"/>
        <w:rPr>
          <w:rFonts w:eastAsia="Times New Roman" w:cs="Calibri"/>
          <w:b/>
          <w:bCs/>
          <w:kern w:val="0"/>
          <w:lang w:eastAsia="en-GB"/>
          <w14:ligatures w14:val="none"/>
        </w:rPr>
      </w:pPr>
    </w:p>
    <w:p w14:paraId="114679D3" w14:textId="2F5B7DA6" w:rsidR="005B0629" w:rsidRDefault="005B0629" w:rsidP="00CF3F12">
      <w:pPr>
        <w:spacing w:after="0" w:line="240" w:lineRule="auto"/>
        <w:rPr>
          <w:rFonts w:eastAsia="Times New Roman" w:cs="Calibri"/>
          <w:b/>
          <w:bCs/>
          <w:kern w:val="0"/>
          <w:lang w:eastAsia="en-GB"/>
          <w14:ligatures w14:val="none"/>
        </w:rPr>
      </w:pPr>
    </w:p>
    <w:p w14:paraId="6F60135F" w14:textId="347DC75C" w:rsidR="005B0629" w:rsidRDefault="005B0629" w:rsidP="00CF3F12">
      <w:pPr>
        <w:spacing w:after="0" w:line="240" w:lineRule="auto"/>
        <w:rPr>
          <w:rFonts w:eastAsia="Times New Roman" w:cs="Calibri"/>
          <w:b/>
          <w:bCs/>
          <w:kern w:val="0"/>
          <w:lang w:eastAsia="en-GB"/>
          <w14:ligatures w14:val="none"/>
        </w:rPr>
      </w:pPr>
    </w:p>
    <w:p w14:paraId="08858208" w14:textId="1AFC232F" w:rsidR="005B0629" w:rsidRDefault="005B0629" w:rsidP="00CF3F12">
      <w:pPr>
        <w:spacing w:after="0" w:line="240" w:lineRule="auto"/>
        <w:rPr>
          <w:rFonts w:eastAsia="Times New Roman" w:cs="Calibri"/>
          <w:b/>
          <w:bCs/>
          <w:kern w:val="0"/>
          <w:lang w:eastAsia="en-GB"/>
          <w14:ligatures w14:val="none"/>
        </w:rPr>
      </w:pPr>
    </w:p>
    <w:p w14:paraId="409D2FD1" w14:textId="0CAE08AE" w:rsidR="005B0629" w:rsidRDefault="005B0629" w:rsidP="00CF3F12">
      <w:pPr>
        <w:spacing w:after="0" w:line="240" w:lineRule="auto"/>
        <w:rPr>
          <w:rFonts w:eastAsia="Times New Roman" w:cs="Calibri"/>
          <w:b/>
          <w:bCs/>
          <w:kern w:val="0"/>
          <w:lang w:eastAsia="en-GB"/>
          <w14:ligatures w14:val="none"/>
        </w:rPr>
      </w:pPr>
    </w:p>
    <w:p w14:paraId="5DC0B8E3" w14:textId="4E684F61" w:rsidR="005B0629" w:rsidRDefault="005B0629" w:rsidP="00CF3F12">
      <w:pPr>
        <w:spacing w:after="0" w:line="240" w:lineRule="auto"/>
        <w:rPr>
          <w:rFonts w:eastAsia="Times New Roman" w:cs="Calibri"/>
          <w:b/>
          <w:bCs/>
          <w:kern w:val="0"/>
          <w:lang w:eastAsia="en-GB"/>
          <w14:ligatures w14:val="none"/>
        </w:rPr>
      </w:pPr>
    </w:p>
    <w:p w14:paraId="1D9D301A" w14:textId="5CE5F51A" w:rsidR="005B0629" w:rsidRDefault="005B0629" w:rsidP="00CF3F12">
      <w:pPr>
        <w:spacing w:after="0" w:line="240" w:lineRule="auto"/>
        <w:rPr>
          <w:rFonts w:eastAsia="Times New Roman" w:cs="Calibri"/>
          <w:b/>
          <w:bCs/>
          <w:kern w:val="0"/>
          <w:lang w:eastAsia="en-GB"/>
          <w14:ligatures w14:val="none"/>
        </w:rPr>
      </w:pPr>
    </w:p>
    <w:p w14:paraId="08174411" w14:textId="40E486C8" w:rsidR="005B0629" w:rsidRDefault="005B0629" w:rsidP="00CF3F12">
      <w:pPr>
        <w:spacing w:after="0" w:line="240" w:lineRule="auto"/>
        <w:rPr>
          <w:rFonts w:eastAsia="Times New Roman" w:cs="Calibri"/>
          <w:b/>
          <w:bCs/>
          <w:kern w:val="0"/>
          <w:lang w:eastAsia="en-GB"/>
          <w14:ligatures w14:val="none"/>
        </w:rPr>
      </w:pPr>
    </w:p>
    <w:p w14:paraId="787928B4" w14:textId="7D94D5B7" w:rsidR="005B0629" w:rsidRDefault="005B0629" w:rsidP="00CF3F12">
      <w:pPr>
        <w:spacing w:after="0" w:line="240" w:lineRule="auto"/>
        <w:rPr>
          <w:rFonts w:eastAsia="Times New Roman" w:cs="Calibri"/>
          <w:b/>
          <w:bCs/>
          <w:kern w:val="0"/>
          <w:lang w:eastAsia="en-GB"/>
          <w14:ligatures w14:val="none"/>
        </w:rPr>
      </w:pPr>
    </w:p>
    <w:p w14:paraId="4A61294B" w14:textId="279CEAFF" w:rsidR="005B0629" w:rsidRDefault="005B0629" w:rsidP="00CF3F12">
      <w:pPr>
        <w:spacing w:after="0" w:line="240" w:lineRule="auto"/>
        <w:rPr>
          <w:rFonts w:eastAsia="Times New Roman" w:cs="Calibri"/>
          <w:b/>
          <w:bCs/>
          <w:kern w:val="0"/>
          <w:lang w:eastAsia="en-GB"/>
          <w14:ligatures w14:val="none"/>
        </w:rPr>
      </w:pPr>
    </w:p>
    <w:p w14:paraId="600F777B" w14:textId="77777777" w:rsidR="006B507C" w:rsidRDefault="006B507C" w:rsidP="00CF3F12">
      <w:pPr>
        <w:spacing w:after="0" w:line="240" w:lineRule="auto"/>
        <w:rPr>
          <w:rFonts w:eastAsia="Times New Roman" w:cs="Calibri"/>
          <w:b/>
          <w:bCs/>
          <w:kern w:val="0"/>
          <w:lang w:eastAsia="en-GB"/>
          <w14:ligatures w14:val="none"/>
        </w:rPr>
      </w:pPr>
    </w:p>
    <w:p w14:paraId="3ACE761C" w14:textId="77777777" w:rsidR="006B507C" w:rsidRDefault="006B507C" w:rsidP="00CF3F12">
      <w:pPr>
        <w:spacing w:after="0" w:line="240" w:lineRule="auto"/>
        <w:rPr>
          <w:rFonts w:eastAsia="Times New Roman" w:cs="Calibri"/>
          <w:b/>
          <w:bCs/>
          <w:kern w:val="0"/>
          <w:lang w:eastAsia="en-GB"/>
          <w14:ligatures w14:val="none"/>
        </w:rPr>
      </w:pPr>
    </w:p>
    <w:p w14:paraId="1B170893" w14:textId="77777777" w:rsidR="006B507C" w:rsidRDefault="006B507C" w:rsidP="00CF3F12">
      <w:pPr>
        <w:spacing w:after="0" w:line="240" w:lineRule="auto"/>
        <w:rPr>
          <w:rFonts w:eastAsia="Times New Roman" w:cs="Calibri"/>
          <w:b/>
          <w:bCs/>
          <w:kern w:val="0"/>
          <w:lang w:eastAsia="en-GB"/>
          <w14:ligatures w14:val="none"/>
        </w:rPr>
      </w:pPr>
    </w:p>
    <w:p w14:paraId="5F39C2D2" w14:textId="77777777" w:rsidR="006B507C" w:rsidRDefault="006B507C" w:rsidP="00CF3F12">
      <w:pPr>
        <w:spacing w:after="0" w:line="240" w:lineRule="auto"/>
        <w:rPr>
          <w:rFonts w:eastAsia="Times New Roman" w:cs="Calibri"/>
          <w:b/>
          <w:bCs/>
          <w:kern w:val="0"/>
          <w:lang w:eastAsia="en-GB"/>
          <w14:ligatures w14:val="none"/>
        </w:rPr>
      </w:pPr>
    </w:p>
    <w:p w14:paraId="34722518" w14:textId="77777777" w:rsidR="006B507C" w:rsidRDefault="006B507C" w:rsidP="00CF3F12">
      <w:pPr>
        <w:spacing w:after="0" w:line="240" w:lineRule="auto"/>
        <w:rPr>
          <w:rFonts w:eastAsia="Times New Roman" w:cs="Calibri"/>
          <w:b/>
          <w:bCs/>
          <w:kern w:val="0"/>
          <w:lang w:eastAsia="en-GB"/>
          <w14:ligatures w14:val="none"/>
        </w:rPr>
      </w:pPr>
    </w:p>
    <w:p w14:paraId="1C77A74A" w14:textId="77777777" w:rsidR="00F04D0F" w:rsidRDefault="00F04D0F" w:rsidP="00CF3F12">
      <w:pPr>
        <w:spacing w:after="0" w:line="240" w:lineRule="auto"/>
        <w:rPr>
          <w:rFonts w:eastAsia="Times New Roman" w:cs="Calibri"/>
          <w:b/>
          <w:bCs/>
          <w:kern w:val="0"/>
          <w:lang w:eastAsia="en-GB"/>
          <w14:ligatures w14:val="none"/>
        </w:rPr>
      </w:pPr>
    </w:p>
    <w:p w14:paraId="4EAEA5B7" w14:textId="2E9EC851" w:rsidR="005B0629" w:rsidRPr="005B0629" w:rsidRDefault="005B0629" w:rsidP="00CF3F12">
      <w:pPr>
        <w:spacing w:after="0" w:line="240" w:lineRule="auto"/>
        <w:rPr>
          <w:rFonts w:eastAsia="Times New Roman" w:cs="Calibri"/>
          <w:kern w:val="0"/>
          <w:lang w:eastAsia="en-GB"/>
          <w14:ligatures w14:val="none"/>
        </w:rPr>
      </w:pPr>
      <w:r w:rsidRPr="005B0629">
        <w:rPr>
          <w:rFonts w:eastAsia="Times New Roman" w:cs="Calibri"/>
          <w:b/>
          <w:bCs/>
          <w:kern w:val="0"/>
          <w:lang w:eastAsia="en-GB"/>
          <w14:ligatures w14:val="none"/>
        </w:rPr>
        <w:lastRenderedPageBreak/>
        <w:t>Children and Young People:</w:t>
      </w:r>
      <w:r w:rsidRPr="005B0629">
        <w:rPr>
          <w:rFonts w:eastAsia="Times New Roman" w:cs="Calibri"/>
          <w:b/>
          <w:bCs/>
          <w:noProof/>
          <w:kern w:val="0"/>
          <w:lang w:eastAsia="en-GB"/>
          <w14:ligatures w14:val="none"/>
        </w:rPr>
        <w:t xml:space="preserve"> </w:t>
      </w:r>
    </w:p>
    <w:p w14:paraId="1D184FAC" w14:textId="27C6C917" w:rsidR="005B0629" w:rsidRDefault="005B0629" w:rsidP="005B0629">
      <w:pPr>
        <w:keepNext/>
        <w:spacing w:after="0" w:line="240" w:lineRule="auto"/>
        <w:jc w:val="both"/>
        <w:rPr>
          <w:rFonts w:eastAsia="Times New Roman" w:cs="Calibri"/>
          <w:b/>
          <w:bCs/>
          <w:noProof/>
          <w:kern w:val="0"/>
          <w:lang w:eastAsia="en-GB"/>
          <w14:ligatures w14:val="none"/>
        </w:rPr>
      </w:pPr>
      <w:r w:rsidRPr="005B0629">
        <w:rPr>
          <w:rFonts w:eastAsia="Times New Roman" w:cs="Calibri"/>
          <w:b/>
          <w:bCs/>
          <w:noProof/>
          <w:kern w:val="0"/>
          <w:lang w:eastAsia="en-GB"/>
          <w14:ligatures w14:val="none"/>
        </w:rPr>
        <w:drawing>
          <wp:anchor distT="0" distB="0" distL="114300" distR="114300" simplePos="0" relativeHeight="251659264" behindDoc="1" locked="0" layoutInCell="1" allowOverlap="1" wp14:anchorId="1E5FAB0B" wp14:editId="773DC9C8">
            <wp:simplePos x="0" y="0"/>
            <wp:positionH relativeFrom="margin">
              <wp:align>center</wp:align>
            </wp:positionH>
            <wp:positionV relativeFrom="paragraph">
              <wp:posOffset>175895</wp:posOffset>
            </wp:positionV>
            <wp:extent cx="4197634" cy="4375150"/>
            <wp:effectExtent l="0" t="0" r="0" b="6350"/>
            <wp:wrapNone/>
            <wp:docPr id="675467661" name="Picture 3" descr="A graph of population grow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67661" name="Picture 3" descr="A graph of population growth&#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7634" cy="4375150"/>
                    </a:xfrm>
                    <a:prstGeom prst="rect">
                      <a:avLst/>
                    </a:prstGeom>
                    <a:noFill/>
                  </pic:spPr>
                </pic:pic>
              </a:graphicData>
            </a:graphic>
            <wp14:sizeRelH relativeFrom="page">
              <wp14:pctWidth>0</wp14:pctWidth>
            </wp14:sizeRelH>
            <wp14:sizeRelV relativeFrom="page">
              <wp14:pctHeight>0</wp14:pctHeight>
            </wp14:sizeRelV>
          </wp:anchor>
        </w:drawing>
      </w:r>
    </w:p>
    <w:p w14:paraId="02595B44"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1000E174"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3E15485B"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0FA676A2"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30631E6F"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61E1E88C"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39B88C5C"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6C15AC12"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745D4B5F"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31744E93"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09092BF3"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36330174"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64B05E43"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40979BCD"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3C7D9B4F"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7E43EBE9"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34FE7D56"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051DF5FD"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6C4FF7DA"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1C33EBAB"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781178D4"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4F230A57"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41F6D9C4" w14:textId="77777777" w:rsidR="005B0629" w:rsidRDefault="005B0629" w:rsidP="005B0629">
      <w:pPr>
        <w:keepNext/>
        <w:spacing w:after="0" w:line="240" w:lineRule="auto"/>
        <w:jc w:val="both"/>
        <w:rPr>
          <w:rFonts w:eastAsia="Times New Roman" w:cs="Calibri"/>
          <w:b/>
          <w:bCs/>
          <w:noProof/>
          <w:kern w:val="0"/>
          <w:lang w:eastAsia="en-GB"/>
          <w14:ligatures w14:val="none"/>
        </w:rPr>
      </w:pPr>
    </w:p>
    <w:p w14:paraId="04340F99" w14:textId="113EE5B2" w:rsidR="005B0629" w:rsidRPr="005B0629" w:rsidRDefault="005B0629" w:rsidP="005B0629">
      <w:pPr>
        <w:keepNext/>
        <w:spacing w:after="0" w:line="240" w:lineRule="auto"/>
        <w:jc w:val="both"/>
        <w:rPr>
          <w:rFonts w:eastAsia="Times New Roman" w:cs="Calibri"/>
          <w:b/>
          <w:bCs/>
          <w:noProof/>
          <w:kern w:val="0"/>
          <w:lang w:eastAsia="en-GB"/>
          <w14:ligatures w14:val="none"/>
        </w:rPr>
      </w:pPr>
    </w:p>
    <w:p w14:paraId="48B54C6E" w14:textId="34FE9C74" w:rsidR="005B0629" w:rsidRPr="005B0629" w:rsidRDefault="005B0629" w:rsidP="005B0629">
      <w:pPr>
        <w:keepNext/>
        <w:spacing w:after="0" w:line="240" w:lineRule="auto"/>
        <w:jc w:val="both"/>
        <w:rPr>
          <w:rFonts w:eastAsia="Times New Roman" w:cs="Calibri"/>
          <w:b/>
          <w:bCs/>
          <w:noProof/>
          <w:kern w:val="0"/>
          <w:lang w:eastAsia="en-GB"/>
          <w14:ligatures w14:val="none"/>
        </w:rPr>
      </w:pPr>
      <w:r w:rsidRPr="005B0629">
        <w:rPr>
          <w:rFonts w:eastAsia="Times New Roman" w:cs="Calibri"/>
          <w:b/>
          <w:bCs/>
          <w:noProof/>
          <w:kern w:val="0"/>
          <w:lang w:eastAsia="en-GB"/>
          <w14:ligatures w14:val="none"/>
        </w:rPr>
        <w:drawing>
          <wp:anchor distT="0" distB="0" distL="114300" distR="114300" simplePos="0" relativeHeight="251660288" behindDoc="0" locked="0" layoutInCell="1" allowOverlap="1" wp14:anchorId="2051E6D9" wp14:editId="13303169">
            <wp:simplePos x="0" y="0"/>
            <wp:positionH relativeFrom="column">
              <wp:posOffset>508000</wp:posOffset>
            </wp:positionH>
            <wp:positionV relativeFrom="paragraph">
              <wp:posOffset>71755</wp:posOffset>
            </wp:positionV>
            <wp:extent cx="5121275" cy="3310255"/>
            <wp:effectExtent l="0" t="0" r="3175" b="4445"/>
            <wp:wrapNone/>
            <wp:docPr id="1060889153" name="Picture 4" descr="A graph with green lin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89153" name="Picture 4" descr="A graph with green line and whit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1275" cy="3310255"/>
                    </a:xfrm>
                    <a:prstGeom prst="rect">
                      <a:avLst/>
                    </a:prstGeom>
                    <a:noFill/>
                  </pic:spPr>
                </pic:pic>
              </a:graphicData>
            </a:graphic>
            <wp14:sizeRelH relativeFrom="page">
              <wp14:pctWidth>0</wp14:pctWidth>
            </wp14:sizeRelH>
            <wp14:sizeRelV relativeFrom="page">
              <wp14:pctHeight>0</wp14:pctHeight>
            </wp14:sizeRelV>
          </wp:anchor>
        </w:drawing>
      </w:r>
    </w:p>
    <w:p w14:paraId="6E41F4B8" w14:textId="77777777" w:rsidR="005B0629" w:rsidRPr="005B0629" w:rsidRDefault="005B0629" w:rsidP="005B0629">
      <w:pPr>
        <w:keepNext/>
        <w:spacing w:after="0" w:line="240" w:lineRule="auto"/>
        <w:jc w:val="both"/>
        <w:rPr>
          <w:rFonts w:eastAsia="Times New Roman" w:cs="Calibri"/>
          <w:b/>
          <w:bCs/>
          <w:noProof/>
          <w:kern w:val="0"/>
          <w:lang w:eastAsia="en-GB"/>
          <w14:ligatures w14:val="none"/>
        </w:rPr>
      </w:pPr>
    </w:p>
    <w:p w14:paraId="73563219" w14:textId="77777777" w:rsidR="005B0629" w:rsidRPr="005B0629" w:rsidRDefault="005B0629" w:rsidP="005B0629">
      <w:pPr>
        <w:spacing w:after="0" w:line="240" w:lineRule="auto"/>
        <w:jc w:val="both"/>
        <w:rPr>
          <w:rFonts w:eastAsia="Times New Roman" w:cs="Calibri"/>
          <w:b/>
          <w:bCs/>
          <w:noProof/>
          <w:kern w:val="0"/>
          <w:lang w:eastAsia="en-GB"/>
          <w14:ligatures w14:val="none"/>
        </w:rPr>
      </w:pPr>
    </w:p>
    <w:p w14:paraId="43894838" w14:textId="77777777" w:rsidR="005B0629" w:rsidRDefault="005B0629" w:rsidP="005B0629">
      <w:pPr>
        <w:spacing w:after="0" w:line="240" w:lineRule="auto"/>
        <w:rPr>
          <w:rFonts w:eastAsia="Times New Roman" w:cs="Calibri"/>
          <w:b/>
          <w:bCs/>
          <w:kern w:val="0"/>
          <w:lang w:eastAsia="en-GB"/>
          <w14:ligatures w14:val="none"/>
        </w:rPr>
      </w:pPr>
    </w:p>
    <w:p w14:paraId="700E1A1C" w14:textId="77777777" w:rsidR="005B0629" w:rsidRDefault="005B0629" w:rsidP="005B0629">
      <w:pPr>
        <w:spacing w:after="0" w:line="240" w:lineRule="auto"/>
        <w:rPr>
          <w:rFonts w:eastAsia="Times New Roman" w:cs="Calibri"/>
          <w:b/>
          <w:bCs/>
          <w:kern w:val="0"/>
          <w:lang w:eastAsia="en-GB"/>
          <w14:ligatures w14:val="none"/>
        </w:rPr>
      </w:pPr>
    </w:p>
    <w:p w14:paraId="46E595D0" w14:textId="77777777" w:rsidR="005B0629" w:rsidRDefault="005B0629" w:rsidP="005B0629">
      <w:pPr>
        <w:spacing w:after="0" w:line="240" w:lineRule="auto"/>
        <w:rPr>
          <w:rFonts w:eastAsia="Times New Roman" w:cs="Calibri"/>
          <w:b/>
          <w:bCs/>
          <w:kern w:val="0"/>
          <w:lang w:eastAsia="en-GB"/>
          <w14:ligatures w14:val="none"/>
        </w:rPr>
      </w:pPr>
    </w:p>
    <w:p w14:paraId="57D5E6AF" w14:textId="77777777" w:rsidR="005B0629" w:rsidRDefault="005B0629" w:rsidP="005B0629">
      <w:pPr>
        <w:spacing w:after="0" w:line="240" w:lineRule="auto"/>
        <w:rPr>
          <w:rFonts w:eastAsia="Times New Roman" w:cs="Calibri"/>
          <w:b/>
          <w:bCs/>
          <w:kern w:val="0"/>
          <w:lang w:eastAsia="en-GB"/>
          <w14:ligatures w14:val="none"/>
        </w:rPr>
      </w:pPr>
    </w:p>
    <w:p w14:paraId="40EBB0AA" w14:textId="77777777" w:rsidR="005B0629" w:rsidRDefault="005B0629" w:rsidP="005B0629">
      <w:pPr>
        <w:spacing w:after="0" w:line="240" w:lineRule="auto"/>
        <w:rPr>
          <w:rFonts w:eastAsia="Times New Roman" w:cs="Calibri"/>
          <w:b/>
          <w:bCs/>
          <w:kern w:val="0"/>
          <w:lang w:eastAsia="en-GB"/>
          <w14:ligatures w14:val="none"/>
        </w:rPr>
      </w:pPr>
    </w:p>
    <w:p w14:paraId="6FD5737B" w14:textId="77777777" w:rsidR="005B0629" w:rsidRDefault="005B0629" w:rsidP="005B0629">
      <w:pPr>
        <w:spacing w:after="0" w:line="240" w:lineRule="auto"/>
        <w:rPr>
          <w:rFonts w:eastAsia="Times New Roman" w:cs="Calibri"/>
          <w:b/>
          <w:bCs/>
          <w:kern w:val="0"/>
          <w:lang w:eastAsia="en-GB"/>
          <w14:ligatures w14:val="none"/>
        </w:rPr>
      </w:pPr>
    </w:p>
    <w:p w14:paraId="4D3347D6" w14:textId="77777777" w:rsidR="005B0629" w:rsidRDefault="005B0629" w:rsidP="005B0629">
      <w:pPr>
        <w:spacing w:after="0" w:line="240" w:lineRule="auto"/>
        <w:rPr>
          <w:rFonts w:eastAsia="Times New Roman" w:cs="Calibri"/>
          <w:b/>
          <w:bCs/>
          <w:kern w:val="0"/>
          <w:lang w:eastAsia="en-GB"/>
          <w14:ligatures w14:val="none"/>
        </w:rPr>
      </w:pPr>
    </w:p>
    <w:p w14:paraId="1A3D3EB0" w14:textId="77777777" w:rsidR="005B0629" w:rsidRDefault="005B0629" w:rsidP="005B0629">
      <w:pPr>
        <w:spacing w:after="0" w:line="240" w:lineRule="auto"/>
        <w:rPr>
          <w:rFonts w:eastAsia="Times New Roman" w:cs="Calibri"/>
          <w:b/>
          <w:bCs/>
          <w:kern w:val="0"/>
          <w:lang w:eastAsia="en-GB"/>
          <w14:ligatures w14:val="none"/>
        </w:rPr>
      </w:pPr>
    </w:p>
    <w:p w14:paraId="58E51EB4" w14:textId="77777777" w:rsidR="005B0629" w:rsidRDefault="005B0629" w:rsidP="005B0629">
      <w:pPr>
        <w:spacing w:after="0" w:line="240" w:lineRule="auto"/>
        <w:rPr>
          <w:rFonts w:eastAsia="Times New Roman" w:cs="Calibri"/>
          <w:b/>
          <w:bCs/>
          <w:kern w:val="0"/>
          <w:lang w:eastAsia="en-GB"/>
          <w14:ligatures w14:val="none"/>
        </w:rPr>
      </w:pPr>
    </w:p>
    <w:p w14:paraId="38906B18" w14:textId="77777777" w:rsidR="005B0629" w:rsidRDefault="005B0629" w:rsidP="005B0629">
      <w:pPr>
        <w:spacing w:after="0" w:line="240" w:lineRule="auto"/>
        <w:rPr>
          <w:rFonts w:eastAsia="Times New Roman" w:cs="Calibri"/>
          <w:b/>
          <w:bCs/>
          <w:kern w:val="0"/>
          <w:lang w:eastAsia="en-GB"/>
          <w14:ligatures w14:val="none"/>
        </w:rPr>
      </w:pPr>
    </w:p>
    <w:p w14:paraId="3F8CFF8F" w14:textId="77777777" w:rsidR="005B0629" w:rsidRDefault="005B0629" w:rsidP="005B0629">
      <w:pPr>
        <w:spacing w:after="0" w:line="240" w:lineRule="auto"/>
        <w:rPr>
          <w:rFonts w:eastAsia="Times New Roman" w:cs="Calibri"/>
          <w:b/>
          <w:bCs/>
          <w:kern w:val="0"/>
          <w:lang w:eastAsia="en-GB"/>
          <w14:ligatures w14:val="none"/>
        </w:rPr>
      </w:pPr>
    </w:p>
    <w:p w14:paraId="4CEC2FDF" w14:textId="77777777" w:rsidR="005B0629" w:rsidRDefault="005B0629" w:rsidP="005B0629">
      <w:pPr>
        <w:spacing w:after="0" w:line="240" w:lineRule="auto"/>
        <w:rPr>
          <w:rFonts w:eastAsia="Times New Roman" w:cs="Calibri"/>
          <w:b/>
          <w:bCs/>
          <w:kern w:val="0"/>
          <w:lang w:eastAsia="en-GB"/>
          <w14:ligatures w14:val="none"/>
        </w:rPr>
      </w:pPr>
    </w:p>
    <w:p w14:paraId="304BDFF1" w14:textId="77777777" w:rsidR="005B0629" w:rsidRDefault="005B0629" w:rsidP="005B0629">
      <w:pPr>
        <w:spacing w:after="0" w:line="240" w:lineRule="auto"/>
        <w:rPr>
          <w:rFonts w:eastAsia="Times New Roman" w:cs="Calibri"/>
          <w:b/>
          <w:bCs/>
          <w:kern w:val="0"/>
          <w:lang w:eastAsia="en-GB"/>
          <w14:ligatures w14:val="none"/>
        </w:rPr>
      </w:pPr>
    </w:p>
    <w:p w14:paraId="116E385F" w14:textId="77777777" w:rsidR="005B0629" w:rsidRDefault="005B0629" w:rsidP="005B0629">
      <w:pPr>
        <w:spacing w:after="0" w:line="240" w:lineRule="auto"/>
        <w:rPr>
          <w:rFonts w:eastAsia="Times New Roman" w:cs="Calibri"/>
          <w:b/>
          <w:bCs/>
          <w:kern w:val="0"/>
          <w:lang w:eastAsia="en-GB"/>
          <w14:ligatures w14:val="none"/>
        </w:rPr>
      </w:pPr>
    </w:p>
    <w:p w14:paraId="4E14BB84" w14:textId="77777777" w:rsidR="005B0629" w:rsidRDefault="005B0629" w:rsidP="005B0629">
      <w:pPr>
        <w:spacing w:after="0" w:line="240" w:lineRule="auto"/>
        <w:rPr>
          <w:rFonts w:eastAsia="Times New Roman" w:cs="Calibri"/>
          <w:b/>
          <w:bCs/>
          <w:kern w:val="0"/>
          <w:lang w:eastAsia="en-GB"/>
          <w14:ligatures w14:val="none"/>
        </w:rPr>
      </w:pPr>
    </w:p>
    <w:p w14:paraId="70809F0F" w14:textId="77777777" w:rsidR="005B0629" w:rsidRDefault="005B0629" w:rsidP="005B0629">
      <w:pPr>
        <w:spacing w:after="0" w:line="240" w:lineRule="auto"/>
        <w:rPr>
          <w:rFonts w:eastAsia="Times New Roman" w:cs="Calibri"/>
          <w:b/>
          <w:bCs/>
          <w:kern w:val="0"/>
          <w:lang w:eastAsia="en-GB"/>
          <w14:ligatures w14:val="none"/>
        </w:rPr>
      </w:pPr>
    </w:p>
    <w:p w14:paraId="1EC86E13" w14:textId="77777777" w:rsidR="005B0629" w:rsidRDefault="005B0629" w:rsidP="005B0629">
      <w:pPr>
        <w:spacing w:after="0" w:line="240" w:lineRule="auto"/>
        <w:rPr>
          <w:rFonts w:eastAsia="Times New Roman" w:cs="Calibri"/>
          <w:b/>
          <w:bCs/>
          <w:kern w:val="0"/>
          <w:lang w:eastAsia="en-GB"/>
          <w14:ligatures w14:val="none"/>
        </w:rPr>
      </w:pPr>
    </w:p>
    <w:p w14:paraId="0139B3F4" w14:textId="77777777" w:rsidR="0031478C" w:rsidRDefault="0031478C" w:rsidP="005B0629">
      <w:pPr>
        <w:spacing w:after="0" w:line="240" w:lineRule="auto"/>
        <w:rPr>
          <w:rFonts w:eastAsia="Times New Roman" w:cs="Calibri"/>
          <w:b/>
          <w:bCs/>
          <w:kern w:val="0"/>
          <w:lang w:eastAsia="en-GB"/>
          <w14:ligatures w14:val="none"/>
        </w:rPr>
      </w:pPr>
    </w:p>
    <w:p w14:paraId="755E4B36" w14:textId="3406BAD1" w:rsidR="005B0629" w:rsidRPr="005B0629" w:rsidRDefault="005B0629" w:rsidP="005B0629">
      <w:pPr>
        <w:spacing w:after="0" w:line="240" w:lineRule="auto"/>
        <w:rPr>
          <w:rFonts w:eastAsia="Times New Roman" w:cs="Calibri"/>
          <w:b/>
          <w:bCs/>
          <w:kern w:val="0"/>
          <w:lang w:eastAsia="en-GB"/>
          <w14:ligatures w14:val="none"/>
        </w:rPr>
      </w:pPr>
      <w:r w:rsidRPr="005B0629">
        <w:rPr>
          <w:rFonts w:eastAsia="Times New Roman" w:cs="Calibri"/>
          <w:b/>
          <w:bCs/>
          <w:kern w:val="0"/>
          <w:lang w:eastAsia="en-GB"/>
          <w14:ligatures w14:val="none"/>
        </w:rPr>
        <w:lastRenderedPageBreak/>
        <w:t>Children in low-income (relative) households by local authority:</w:t>
      </w:r>
    </w:p>
    <w:p w14:paraId="3D78473C" w14:textId="77777777" w:rsidR="005B0629" w:rsidRPr="005B0629" w:rsidRDefault="005B0629" w:rsidP="005B0629">
      <w:pPr>
        <w:spacing w:after="0" w:line="240" w:lineRule="auto"/>
        <w:rPr>
          <w:rFonts w:eastAsia="Times New Roman" w:cs="Calibri"/>
          <w:kern w:val="0"/>
          <w:lang w:eastAsia="en-GB"/>
          <w14:ligatures w14:val="none"/>
        </w:rPr>
      </w:pPr>
    </w:p>
    <w:tbl>
      <w:tblPr>
        <w:tblStyle w:val="TableGrid1"/>
        <w:tblW w:w="0" w:type="auto"/>
        <w:tblLook w:val="04A0" w:firstRow="1" w:lastRow="0" w:firstColumn="1" w:lastColumn="0" w:noHBand="0" w:noVBand="1"/>
      </w:tblPr>
      <w:tblGrid>
        <w:gridCol w:w="1985"/>
        <w:gridCol w:w="1415"/>
        <w:gridCol w:w="1415"/>
        <w:gridCol w:w="1393"/>
        <w:gridCol w:w="1415"/>
        <w:gridCol w:w="1393"/>
      </w:tblGrid>
      <w:tr w:rsidR="005B0629" w:rsidRPr="00D20CB1" w14:paraId="10F25AC9" w14:textId="77777777" w:rsidTr="00B116C8">
        <w:trPr>
          <w:trHeight w:val="870"/>
        </w:trPr>
        <w:tc>
          <w:tcPr>
            <w:tcW w:w="1865" w:type="dxa"/>
            <w:shd w:val="clear" w:color="auto" w:fill="538135"/>
            <w:noWrap/>
            <w:vAlign w:val="center"/>
            <w:hideMark/>
          </w:tcPr>
          <w:p w14:paraId="4A51A2EF" w14:textId="77777777" w:rsidR="005B0629" w:rsidRPr="00D20CB1" w:rsidRDefault="005B0629" w:rsidP="00B116C8">
            <w:pPr>
              <w:rPr>
                <w:rFonts w:eastAsia="Times New Roman" w:cs="Arial"/>
                <w:b/>
                <w:bCs/>
                <w:sz w:val="24"/>
                <w:szCs w:val="24"/>
                <w:lang w:eastAsia="en-GB"/>
              </w:rPr>
            </w:pPr>
            <w:r w:rsidRPr="00D20CB1">
              <w:rPr>
                <w:rFonts w:eastAsia="Times New Roman" w:cs="Arial"/>
                <w:b/>
                <w:bCs/>
                <w:sz w:val="24"/>
                <w:szCs w:val="24"/>
                <w:lang w:eastAsia="en-GB"/>
              </w:rPr>
              <w:t>LAs</w:t>
            </w:r>
          </w:p>
        </w:tc>
        <w:tc>
          <w:tcPr>
            <w:tcW w:w="1439" w:type="dxa"/>
            <w:shd w:val="clear" w:color="auto" w:fill="538135"/>
            <w:hideMark/>
          </w:tcPr>
          <w:p w14:paraId="38E4985F" w14:textId="77777777" w:rsidR="005B0629" w:rsidRPr="00D20CB1" w:rsidRDefault="005B0629" w:rsidP="00B116C8">
            <w:pPr>
              <w:jc w:val="center"/>
              <w:rPr>
                <w:rFonts w:eastAsia="Times New Roman" w:cs="Arial"/>
                <w:b/>
                <w:bCs/>
                <w:sz w:val="24"/>
                <w:szCs w:val="24"/>
                <w:lang w:eastAsia="en-GB"/>
              </w:rPr>
            </w:pPr>
            <w:r w:rsidRPr="00D20CB1">
              <w:rPr>
                <w:rFonts w:eastAsia="Times New Roman" w:cs="Arial"/>
                <w:b/>
                <w:bCs/>
                <w:sz w:val="24"/>
                <w:szCs w:val="24"/>
                <w:lang w:eastAsia="en-GB"/>
              </w:rPr>
              <w:t>2022/23</w:t>
            </w:r>
          </w:p>
        </w:tc>
        <w:tc>
          <w:tcPr>
            <w:tcW w:w="1439" w:type="dxa"/>
            <w:shd w:val="clear" w:color="auto" w:fill="538135"/>
            <w:hideMark/>
          </w:tcPr>
          <w:p w14:paraId="34B63D6B" w14:textId="77777777" w:rsidR="005B0629" w:rsidRPr="00D20CB1" w:rsidRDefault="005B0629" w:rsidP="00B116C8">
            <w:pPr>
              <w:jc w:val="center"/>
              <w:rPr>
                <w:rFonts w:eastAsia="Times New Roman" w:cs="Arial"/>
                <w:b/>
                <w:bCs/>
                <w:sz w:val="24"/>
                <w:szCs w:val="24"/>
                <w:lang w:eastAsia="en-GB"/>
              </w:rPr>
            </w:pPr>
            <w:r w:rsidRPr="00D20CB1">
              <w:rPr>
                <w:rFonts w:eastAsia="Times New Roman" w:cs="Arial"/>
                <w:b/>
                <w:bCs/>
                <w:sz w:val="24"/>
                <w:szCs w:val="24"/>
                <w:lang w:eastAsia="en-GB"/>
              </w:rPr>
              <w:t>2023/24</w:t>
            </w:r>
          </w:p>
        </w:tc>
        <w:tc>
          <w:tcPr>
            <w:tcW w:w="1417" w:type="dxa"/>
            <w:shd w:val="clear" w:color="auto" w:fill="538135"/>
            <w:hideMark/>
          </w:tcPr>
          <w:p w14:paraId="4E5F0198" w14:textId="77777777" w:rsidR="005B0629" w:rsidRPr="00D20CB1" w:rsidRDefault="005B0629" w:rsidP="00B116C8">
            <w:pPr>
              <w:jc w:val="center"/>
              <w:rPr>
                <w:rFonts w:eastAsia="Times New Roman" w:cs="Arial"/>
                <w:b/>
                <w:bCs/>
                <w:sz w:val="24"/>
                <w:szCs w:val="24"/>
                <w:lang w:eastAsia="en-GB"/>
              </w:rPr>
            </w:pPr>
            <w:r w:rsidRPr="00D20CB1">
              <w:rPr>
                <w:rFonts w:eastAsia="Times New Roman" w:cs="Arial"/>
                <w:b/>
                <w:bCs/>
                <w:sz w:val="24"/>
                <w:szCs w:val="24"/>
                <w:lang w:eastAsia="en-GB"/>
              </w:rPr>
              <w:t>2023 MYE population aged 0-15</w:t>
            </w:r>
          </w:p>
        </w:tc>
        <w:tc>
          <w:tcPr>
            <w:tcW w:w="1439" w:type="dxa"/>
            <w:shd w:val="clear" w:color="auto" w:fill="538135"/>
            <w:hideMark/>
          </w:tcPr>
          <w:p w14:paraId="2DCD0840" w14:textId="77777777" w:rsidR="005B0629" w:rsidRPr="00D20CB1" w:rsidRDefault="005B0629" w:rsidP="00B116C8">
            <w:pPr>
              <w:jc w:val="center"/>
              <w:rPr>
                <w:rFonts w:eastAsia="Times New Roman" w:cs="Arial"/>
                <w:b/>
                <w:bCs/>
                <w:sz w:val="24"/>
                <w:szCs w:val="24"/>
                <w:lang w:eastAsia="en-GB"/>
              </w:rPr>
            </w:pPr>
            <w:r w:rsidRPr="00D20CB1">
              <w:rPr>
                <w:rFonts w:eastAsia="Times New Roman" w:cs="Arial"/>
                <w:b/>
                <w:bCs/>
                <w:sz w:val="24"/>
                <w:szCs w:val="24"/>
                <w:lang w:eastAsia="en-GB"/>
              </w:rPr>
              <w:t>2022/23 rate</w:t>
            </w:r>
          </w:p>
        </w:tc>
        <w:tc>
          <w:tcPr>
            <w:tcW w:w="1417" w:type="dxa"/>
            <w:shd w:val="clear" w:color="auto" w:fill="538135"/>
            <w:hideMark/>
          </w:tcPr>
          <w:p w14:paraId="2DC24589" w14:textId="77777777" w:rsidR="005B0629" w:rsidRPr="00D20CB1" w:rsidRDefault="005B0629" w:rsidP="00B116C8">
            <w:pPr>
              <w:jc w:val="center"/>
              <w:rPr>
                <w:rFonts w:eastAsia="Times New Roman" w:cs="Arial"/>
                <w:b/>
                <w:bCs/>
                <w:sz w:val="24"/>
                <w:szCs w:val="24"/>
                <w:lang w:eastAsia="en-GB"/>
              </w:rPr>
            </w:pPr>
            <w:r w:rsidRPr="00D20CB1">
              <w:rPr>
                <w:rFonts w:eastAsia="Times New Roman" w:cs="Arial"/>
                <w:b/>
                <w:bCs/>
                <w:sz w:val="24"/>
                <w:szCs w:val="24"/>
                <w:lang w:eastAsia="en-GB"/>
              </w:rPr>
              <w:t>2023/24 rate</w:t>
            </w:r>
          </w:p>
        </w:tc>
      </w:tr>
      <w:tr w:rsidR="005B0629" w:rsidRPr="00D20CB1" w14:paraId="1BB8EAA9" w14:textId="77777777" w:rsidTr="00B116C8">
        <w:trPr>
          <w:trHeight w:val="290"/>
        </w:trPr>
        <w:tc>
          <w:tcPr>
            <w:tcW w:w="1865" w:type="dxa"/>
            <w:noWrap/>
            <w:hideMark/>
          </w:tcPr>
          <w:p w14:paraId="3C918578" w14:textId="77777777" w:rsidR="005B0629" w:rsidRPr="00D20CB1" w:rsidRDefault="005B0629" w:rsidP="00B116C8">
            <w:pPr>
              <w:rPr>
                <w:rFonts w:eastAsia="Times New Roman" w:cs="Arial"/>
                <w:sz w:val="24"/>
                <w:szCs w:val="24"/>
                <w:lang w:eastAsia="en-GB"/>
              </w:rPr>
            </w:pPr>
            <w:r w:rsidRPr="00D20CB1">
              <w:rPr>
                <w:rFonts w:eastAsia="Times New Roman" w:cs="Arial"/>
                <w:sz w:val="24"/>
                <w:szCs w:val="24"/>
                <w:lang w:eastAsia="en-GB"/>
              </w:rPr>
              <w:t>Central Bedfordshire</w:t>
            </w:r>
          </w:p>
        </w:tc>
        <w:tc>
          <w:tcPr>
            <w:tcW w:w="1439" w:type="dxa"/>
            <w:noWrap/>
            <w:vAlign w:val="center"/>
          </w:tcPr>
          <w:p w14:paraId="35BA2C21"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8,778 </w:t>
            </w:r>
          </w:p>
        </w:tc>
        <w:tc>
          <w:tcPr>
            <w:tcW w:w="1439" w:type="dxa"/>
            <w:noWrap/>
            <w:vAlign w:val="center"/>
          </w:tcPr>
          <w:p w14:paraId="423BB82B"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9,374 </w:t>
            </w:r>
          </w:p>
        </w:tc>
        <w:tc>
          <w:tcPr>
            <w:tcW w:w="1417" w:type="dxa"/>
            <w:noWrap/>
            <w:vAlign w:val="center"/>
          </w:tcPr>
          <w:p w14:paraId="08151CB8"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60,987 </w:t>
            </w:r>
          </w:p>
        </w:tc>
        <w:tc>
          <w:tcPr>
            <w:tcW w:w="1439" w:type="dxa"/>
            <w:noWrap/>
            <w:vAlign w:val="center"/>
          </w:tcPr>
          <w:p w14:paraId="2CFB832E" w14:textId="77777777" w:rsidR="005B0629" w:rsidRPr="00D20CB1" w:rsidRDefault="005B0629" w:rsidP="00B116C8">
            <w:pPr>
              <w:jc w:val="right"/>
              <w:rPr>
                <w:rFonts w:eastAsia="Times New Roman" w:cs="Arial"/>
                <w:sz w:val="24"/>
                <w:szCs w:val="24"/>
                <w:lang w:eastAsia="en-GB"/>
              </w:rPr>
            </w:pPr>
            <w:r w:rsidRPr="00D20CB1">
              <w:rPr>
                <w:sz w:val="24"/>
                <w:szCs w:val="24"/>
              </w:rPr>
              <w:t>14%</w:t>
            </w:r>
          </w:p>
        </w:tc>
        <w:tc>
          <w:tcPr>
            <w:tcW w:w="1417" w:type="dxa"/>
            <w:noWrap/>
            <w:vAlign w:val="center"/>
          </w:tcPr>
          <w:p w14:paraId="47E4485D" w14:textId="77777777" w:rsidR="005B0629" w:rsidRPr="00D20CB1" w:rsidRDefault="005B0629" w:rsidP="00B116C8">
            <w:pPr>
              <w:jc w:val="right"/>
              <w:rPr>
                <w:rFonts w:eastAsia="Times New Roman" w:cs="Arial"/>
                <w:sz w:val="24"/>
                <w:szCs w:val="24"/>
                <w:lang w:eastAsia="en-GB"/>
              </w:rPr>
            </w:pPr>
            <w:r w:rsidRPr="00D20CB1">
              <w:rPr>
                <w:sz w:val="24"/>
                <w:szCs w:val="24"/>
              </w:rPr>
              <w:t>15%</w:t>
            </w:r>
          </w:p>
        </w:tc>
      </w:tr>
      <w:tr w:rsidR="005B0629" w:rsidRPr="00D20CB1" w14:paraId="6146DDE2" w14:textId="77777777" w:rsidTr="00B116C8">
        <w:trPr>
          <w:trHeight w:val="290"/>
        </w:trPr>
        <w:tc>
          <w:tcPr>
            <w:tcW w:w="1865" w:type="dxa"/>
            <w:noWrap/>
            <w:hideMark/>
          </w:tcPr>
          <w:p w14:paraId="200F04D4" w14:textId="77777777" w:rsidR="005B0629" w:rsidRPr="00D20CB1" w:rsidRDefault="005B0629" w:rsidP="00B116C8">
            <w:pPr>
              <w:jc w:val="right"/>
              <w:rPr>
                <w:rFonts w:eastAsia="Times New Roman" w:cs="Arial"/>
                <w:sz w:val="24"/>
                <w:szCs w:val="24"/>
                <w:lang w:eastAsia="en-GB"/>
              </w:rPr>
            </w:pPr>
          </w:p>
        </w:tc>
        <w:tc>
          <w:tcPr>
            <w:tcW w:w="1439" w:type="dxa"/>
            <w:noWrap/>
            <w:vAlign w:val="center"/>
          </w:tcPr>
          <w:p w14:paraId="7B38EBAA" w14:textId="77777777" w:rsidR="005B0629" w:rsidRPr="00D20CB1" w:rsidRDefault="005B0629" w:rsidP="00B116C8">
            <w:pPr>
              <w:jc w:val="right"/>
              <w:rPr>
                <w:rFonts w:eastAsia="Times New Roman" w:cs="Times New Roman"/>
                <w:sz w:val="24"/>
                <w:szCs w:val="24"/>
                <w:lang w:eastAsia="en-GB"/>
              </w:rPr>
            </w:pPr>
          </w:p>
        </w:tc>
        <w:tc>
          <w:tcPr>
            <w:tcW w:w="1439" w:type="dxa"/>
            <w:noWrap/>
            <w:vAlign w:val="center"/>
          </w:tcPr>
          <w:p w14:paraId="51B5D0DE" w14:textId="77777777" w:rsidR="005B0629" w:rsidRPr="00D20CB1" w:rsidRDefault="005B0629" w:rsidP="00B116C8">
            <w:pPr>
              <w:jc w:val="right"/>
              <w:rPr>
                <w:rFonts w:eastAsia="Times New Roman" w:cs="Times New Roman"/>
                <w:sz w:val="24"/>
                <w:szCs w:val="24"/>
                <w:lang w:eastAsia="en-GB"/>
              </w:rPr>
            </w:pPr>
          </w:p>
        </w:tc>
        <w:tc>
          <w:tcPr>
            <w:tcW w:w="1417" w:type="dxa"/>
            <w:noWrap/>
            <w:vAlign w:val="center"/>
          </w:tcPr>
          <w:p w14:paraId="471AB515" w14:textId="77777777" w:rsidR="005B0629" w:rsidRPr="00D20CB1" w:rsidRDefault="005B0629" w:rsidP="00B116C8">
            <w:pPr>
              <w:jc w:val="right"/>
              <w:rPr>
                <w:rFonts w:eastAsia="Times New Roman" w:cs="Times New Roman"/>
                <w:sz w:val="24"/>
                <w:szCs w:val="24"/>
                <w:lang w:eastAsia="en-GB"/>
              </w:rPr>
            </w:pPr>
          </w:p>
        </w:tc>
        <w:tc>
          <w:tcPr>
            <w:tcW w:w="1439" w:type="dxa"/>
            <w:noWrap/>
            <w:vAlign w:val="center"/>
          </w:tcPr>
          <w:p w14:paraId="66A1B7B3" w14:textId="77777777" w:rsidR="005B0629" w:rsidRPr="00D20CB1" w:rsidRDefault="005B0629" w:rsidP="00B116C8">
            <w:pPr>
              <w:jc w:val="right"/>
              <w:rPr>
                <w:rFonts w:eastAsia="Times New Roman" w:cs="Times New Roman"/>
                <w:sz w:val="24"/>
                <w:szCs w:val="24"/>
                <w:lang w:eastAsia="en-GB"/>
              </w:rPr>
            </w:pPr>
          </w:p>
        </w:tc>
        <w:tc>
          <w:tcPr>
            <w:tcW w:w="1417" w:type="dxa"/>
            <w:noWrap/>
            <w:vAlign w:val="center"/>
          </w:tcPr>
          <w:p w14:paraId="65113C65" w14:textId="77777777" w:rsidR="005B0629" w:rsidRPr="00D20CB1" w:rsidRDefault="005B0629" w:rsidP="00B116C8">
            <w:pPr>
              <w:jc w:val="right"/>
              <w:rPr>
                <w:rFonts w:eastAsia="Times New Roman" w:cs="Times New Roman"/>
                <w:sz w:val="24"/>
                <w:szCs w:val="24"/>
                <w:lang w:eastAsia="en-GB"/>
              </w:rPr>
            </w:pPr>
          </w:p>
        </w:tc>
      </w:tr>
      <w:tr w:rsidR="005B0629" w:rsidRPr="00D20CB1" w14:paraId="14C6C6D2" w14:textId="77777777" w:rsidTr="00B116C8">
        <w:trPr>
          <w:trHeight w:val="290"/>
        </w:trPr>
        <w:tc>
          <w:tcPr>
            <w:tcW w:w="1865" w:type="dxa"/>
            <w:noWrap/>
            <w:hideMark/>
          </w:tcPr>
          <w:p w14:paraId="76BB1638" w14:textId="77777777" w:rsidR="005B0629" w:rsidRPr="00D20CB1" w:rsidRDefault="005B0629" w:rsidP="00B116C8">
            <w:pPr>
              <w:rPr>
                <w:rFonts w:eastAsia="Times New Roman" w:cs="Arial"/>
                <w:sz w:val="24"/>
                <w:szCs w:val="24"/>
                <w:lang w:eastAsia="en-GB"/>
              </w:rPr>
            </w:pPr>
            <w:r w:rsidRPr="00D20CB1">
              <w:rPr>
                <w:rFonts w:eastAsia="Times New Roman" w:cs="Arial"/>
                <w:sz w:val="24"/>
                <w:szCs w:val="24"/>
                <w:lang w:eastAsia="en-GB"/>
              </w:rPr>
              <w:t>Luton</w:t>
            </w:r>
          </w:p>
        </w:tc>
        <w:tc>
          <w:tcPr>
            <w:tcW w:w="1439" w:type="dxa"/>
            <w:noWrap/>
            <w:vAlign w:val="center"/>
          </w:tcPr>
          <w:p w14:paraId="02504A80"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22,569 </w:t>
            </w:r>
          </w:p>
        </w:tc>
        <w:tc>
          <w:tcPr>
            <w:tcW w:w="1439" w:type="dxa"/>
            <w:noWrap/>
            <w:vAlign w:val="center"/>
          </w:tcPr>
          <w:p w14:paraId="5D46B031"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23,248 </w:t>
            </w:r>
          </w:p>
        </w:tc>
        <w:tc>
          <w:tcPr>
            <w:tcW w:w="1417" w:type="dxa"/>
            <w:noWrap/>
            <w:vAlign w:val="center"/>
          </w:tcPr>
          <w:p w14:paraId="7BE241A2"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53,810 </w:t>
            </w:r>
          </w:p>
        </w:tc>
        <w:tc>
          <w:tcPr>
            <w:tcW w:w="1439" w:type="dxa"/>
            <w:noWrap/>
            <w:vAlign w:val="center"/>
          </w:tcPr>
          <w:p w14:paraId="31FCE208" w14:textId="77777777" w:rsidR="005B0629" w:rsidRPr="00D20CB1" w:rsidRDefault="005B0629" w:rsidP="00B116C8">
            <w:pPr>
              <w:jc w:val="right"/>
              <w:rPr>
                <w:rFonts w:eastAsia="Times New Roman" w:cs="Arial"/>
                <w:sz w:val="24"/>
                <w:szCs w:val="24"/>
                <w:lang w:eastAsia="en-GB"/>
              </w:rPr>
            </w:pPr>
            <w:r w:rsidRPr="00D20CB1">
              <w:rPr>
                <w:sz w:val="24"/>
                <w:szCs w:val="24"/>
              </w:rPr>
              <w:t>42%</w:t>
            </w:r>
          </w:p>
        </w:tc>
        <w:tc>
          <w:tcPr>
            <w:tcW w:w="1417" w:type="dxa"/>
            <w:noWrap/>
            <w:vAlign w:val="center"/>
          </w:tcPr>
          <w:p w14:paraId="4D782240" w14:textId="77777777" w:rsidR="005B0629" w:rsidRPr="00D20CB1" w:rsidRDefault="005B0629" w:rsidP="00B116C8">
            <w:pPr>
              <w:jc w:val="right"/>
              <w:rPr>
                <w:rFonts w:eastAsia="Times New Roman" w:cs="Arial"/>
                <w:sz w:val="24"/>
                <w:szCs w:val="24"/>
                <w:lang w:eastAsia="en-GB"/>
              </w:rPr>
            </w:pPr>
            <w:r w:rsidRPr="00D20CB1">
              <w:rPr>
                <w:sz w:val="24"/>
                <w:szCs w:val="24"/>
              </w:rPr>
              <w:t>43%</w:t>
            </w:r>
          </w:p>
        </w:tc>
      </w:tr>
      <w:tr w:rsidR="005B0629" w:rsidRPr="00D20CB1" w14:paraId="6AED6EAC" w14:textId="77777777" w:rsidTr="00B116C8">
        <w:trPr>
          <w:trHeight w:val="290"/>
        </w:trPr>
        <w:tc>
          <w:tcPr>
            <w:tcW w:w="1865" w:type="dxa"/>
            <w:noWrap/>
            <w:hideMark/>
          </w:tcPr>
          <w:p w14:paraId="28C62A67" w14:textId="77777777" w:rsidR="005B0629" w:rsidRPr="00D20CB1" w:rsidRDefault="005B0629" w:rsidP="00B116C8">
            <w:pPr>
              <w:rPr>
                <w:rFonts w:eastAsia="Times New Roman" w:cs="Arial"/>
                <w:sz w:val="24"/>
                <w:szCs w:val="24"/>
                <w:lang w:eastAsia="en-GB"/>
              </w:rPr>
            </w:pPr>
            <w:r w:rsidRPr="00D20CB1">
              <w:rPr>
                <w:rFonts w:eastAsia="Times New Roman" w:cs="Arial"/>
                <w:sz w:val="24"/>
                <w:szCs w:val="24"/>
                <w:lang w:eastAsia="en-GB"/>
              </w:rPr>
              <w:t>Buckinghamshire</w:t>
            </w:r>
          </w:p>
        </w:tc>
        <w:tc>
          <w:tcPr>
            <w:tcW w:w="1439" w:type="dxa"/>
            <w:noWrap/>
            <w:vAlign w:val="center"/>
          </w:tcPr>
          <w:p w14:paraId="5555692A"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17,048 </w:t>
            </w:r>
          </w:p>
        </w:tc>
        <w:tc>
          <w:tcPr>
            <w:tcW w:w="1439" w:type="dxa"/>
            <w:noWrap/>
            <w:vAlign w:val="center"/>
          </w:tcPr>
          <w:p w14:paraId="48B04F7E"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17,751 </w:t>
            </w:r>
          </w:p>
        </w:tc>
        <w:tc>
          <w:tcPr>
            <w:tcW w:w="1417" w:type="dxa"/>
            <w:noWrap/>
            <w:vAlign w:val="center"/>
          </w:tcPr>
          <w:p w14:paraId="2EE66972"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113,211 </w:t>
            </w:r>
          </w:p>
        </w:tc>
        <w:tc>
          <w:tcPr>
            <w:tcW w:w="1439" w:type="dxa"/>
            <w:noWrap/>
            <w:vAlign w:val="center"/>
          </w:tcPr>
          <w:p w14:paraId="5867F7A1" w14:textId="77777777" w:rsidR="005B0629" w:rsidRPr="00D20CB1" w:rsidRDefault="005B0629" w:rsidP="00B116C8">
            <w:pPr>
              <w:jc w:val="right"/>
              <w:rPr>
                <w:rFonts w:eastAsia="Times New Roman" w:cs="Arial"/>
                <w:sz w:val="24"/>
                <w:szCs w:val="24"/>
                <w:lang w:eastAsia="en-GB"/>
              </w:rPr>
            </w:pPr>
            <w:r w:rsidRPr="00D20CB1">
              <w:rPr>
                <w:sz w:val="24"/>
                <w:szCs w:val="24"/>
              </w:rPr>
              <w:t>15%</w:t>
            </w:r>
          </w:p>
        </w:tc>
        <w:tc>
          <w:tcPr>
            <w:tcW w:w="1417" w:type="dxa"/>
            <w:noWrap/>
            <w:vAlign w:val="center"/>
          </w:tcPr>
          <w:p w14:paraId="2793C4B0" w14:textId="77777777" w:rsidR="005B0629" w:rsidRPr="00D20CB1" w:rsidRDefault="005B0629" w:rsidP="00B116C8">
            <w:pPr>
              <w:jc w:val="right"/>
              <w:rPr>
                <w:rFonts w:eastAsia="Times New Roman" w:cs="Arial"/>
                <w:sz w:val="24"/>
                <w:szCs w:val="24"/>
                <w:lang w:eastAsia="en-GB"/>
              </w:rPr>
            </w:pPr>
            <w:r w:rsidRPr="00D20CB1">
              <w:rPr>
                <w:sz w:val="24"/>
                <w:szCs w:val="24"/>
              </w:rPr>
              <w:t>16%</w:t>
            </w:r>
          </w:p>
        </w:tc>
      </w:tr>
      <w:tr w:rsidR="005B0629" w:rsidRPr="00D20CB1" w14:paraId="3C53389F" w14:textId="77777777" w:rsidTr="00B116C8">
        <w:trPr>
          <w:trHeight w:val="290"/>
        </w:trPr>
        <w:tc>
          <w:tcPr>
            <w:tcW w:w="1865" w:type="dxa"/>
            <w:noWrap/>
            <w:hideMark/>
          </w:tcPr>
          <w:p w14:paraId="31BBBB6A" w14:textId="77777777" w:rsidR="005B0629" w:rsidRPr="00D20CB1" w:rsidRDefault="005B0629" w:rsidP="00B116C8">
            <w:pPr>
              <w:rPr>
                <w:rFonts w:eastAsia="Times New Roman" w:cs="Arial"/>
                <w:sz w:val="24"/>
                <w:szCs w:val="24"/>
                <w:lang w:eastAsia="en-GB"/>
              </w:rPr>
            </w:pPr>
            <w:r w:rsidRPr="00D20CB1">
              <w:rPr>
                <w:rFonts w:eastAsia="Times New Roman" w:cs="Arial"/>
                <w:sz w:val="24"/>
                <w:szCs w:val="24"/>
                <w:lang w:eastAsia="en-GB"/>
              </w:rPr>
              <w:t>Bedford</w:t>
            </w:r>
          </w:p>
        </w:tc>
        <w:tc>
          <w:tcPr>
            <w:tcW w:w="1439" w:type="dxa"/>
            <w:noWrap/>
            <w:vAlign w:val="center"/>
          </w:tcPr>
          <w:p w14:paraId="0A119FF6"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8,777 </w:t>
            </w:r>
          </w:p>
        </w:tc>
        <w:tc>
          <w:tcPr>
            <w:tcW w:w="1439" w:type="dxa"/>
            <w:noWrap/>
            <w:vAlign w:val="center"/>
          </w:tcPr>
          <w:p w14:paraId="61325AA9"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9,323 </w:t>
            </w:r>
          </w:p>
        </w:tc>
        <w:tc>
          <w:tcPr>
            <w:tcW w:w="1417" w:type="dxa"/>
            <w:noWrap/>
            <w:vAlign w:val="center"/>
          </w:tcPr>
          <w:p w14:paraId="63CCEB5F"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38,425 </w:t>
            </w:r>
          </w:p>
        </w:tc>
        <w:tc>
          <w:tcPr>
            <w:tcW w:w="1439" w:type="dxa"/>
            <w:noWrap/>
            <w:vAlign w:val="center"/>
          </w:tcPr>
          <w:p w14:paraId="476E7D85" w14:textId="77777777" w:rsidR="005B0629" w:rsidRPr="00D20CB1" w:rsidRDefault="005B0629" w:rsidP="00B116C8">
            <w:pPr>
              <w:jc w:val="right"/>
              <w:rPr>
                <w:rFonts w:eastAsia="Times New Roman" w:cs="Arial"/>
                <w:sz w:val="24"/>
                <w:szCs w:val="24"/>
                <w:lang w:eastAsia="en-GB"/>
              </w:rPr>
            </w:pPr>
            <w:r w:rsidRPr="00D20CB1">
              <w:rPr>
                <w:sz w:val="24"/>
                <w:szCs w:val="24"/>
              </w:rPr>
              <w:t>23%</w:t>
            </w:r>
          </w:p>
        </w:tc>
        <w:tc>
          <w:tcPr>
            <w:tcW w:w="1417" w:type="dxa"/>
            <w:noWrap/>
            <w:vAlign w:val="center"/>
          </w:tcPr>
          <w:p w14:paraId="74D22145" w14:textId="77777777" w:rsidR="005B0629" w:rsidRPr="00D20CB1" w:rsidRDefault="005B0629" w:rsidP="00B116C8">
            <w:pPr>
              <w:jc w:val="right"/>
              <w:rPr>
                <w:rFonts w:eastAsia="Times New Roman" w:cs="Arial"/>
                <w:sz w:val="24"/>
                <w:szCs w:val="24"/>
                <w:lang w:eastAsia="en-GB"/>
              </w:rPr>
            </w:pPr>
            <w:r w:rsidRPr="00D20CB1">
              <w:rPr>
                <w:sz w:val="24"/>
                <w:szCs w:val="24"/>
              </w:rPr>
              <w:t>24%</w:t>
            </w:r>
          </w:p>
        </w:tc>
      </w:tr>
      <w:tr w:rsidR="005B0629" w:rsidRPr="00D20CB1" w14:paraId="7B2508F4" w14:textId="77777777" w:rsidTr="00B116C8">
        <w:trPr>
          <w:trHeight w:val="290"/>
        </w:trPr>
        <w:tc>
          <w:tcPr>
            <w:tcW w:w="1865" w:type="dxa"/>
            <w:noWrap/>
            <w:hideMark/>
          </w:tcPr>
          <w:p w14:paraId="5FAFFC9C" w14:textId="77777777" w:rsidR="005B0629" w:rsidRPr="00D20CB1" w:rsidRDefault="005B0629" w:rsidP="00B116C8">
            <w:pPr>
              <w:rPr>
                <w:rFonts w:eastAsia="Times New Roman" w:cs="Arial"/>
                <w:sz w:val="24"/>
                <w:szCs w:val="24"/>
                <w:lang w:eastAsia="en-GB"/>
              </w:rPr>
            </w:pPr>
            <w:r w:rsidRPr="00D20CB1">
              <w:rPr>
                <w:rFonts w:eastAsia="Times New Roman" w:cs="Arial"/>
                <w:sz w:val="24"/>
                <w:szCs w:val="24"/>
                <w:lang w:eastAsia="en-GB"/>
              </w:rPr>
              <w:t>Southend-on-Sea</w:t>
            </w:r>
          </w:p>
        </w:tc>
        <w:tc>
          <w:tcPr>
            <w:tcW w:w="1439" w:type="dxa"/>
            <w:noWrap/>
            <w:vAlign w:val="center"/>
          </w:tcPr>
          <w:p w14:paraId="7D7AC622"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7,887 </w:t>
            </w:r>
          </w:p>
        </w:tc>
        <w:tc>
          <w:tcPr>
            <w:tcW w:w="1439" w:type="dxa"/>
            <w:noWrap/>
            <w:vAlign w:val="center"/>
          </w:tcPr>
          <w:p w14:paraId="6A1001E8"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8,425 </w:t>
            </w:r>
          </w:p>
        </w:tc>
        <w:tc>
          <w:tcPr>
            <w:tcW w:w="1417" w:type="dxa"/>
            <w:noWrap/>
            <w:vAlign w:val="center"/>
          </w:tcPr>
          <w:p w14:paraId="03260F5B"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34,536 </w:t>
            </w:r>
          </w:p>
        </w:tc>
        <w:tc>
          <w:tcPr>
            <w:tcW w:w="1439" w:type="dxa"/>
            <w:noWrap/>
            <w:vAlign w:val="center"/>
          </w:tcPr>
          <w:p w14:paraId="6627C303" w14:textId="77777777" w:rsidR="005B0629" w:rsidRPr="00D20CB1" w:rsidRDefault="005B0629" w:rsidP="00B116C8">
            <w:pPr>
              <w:jc w:val="right"/>
              <w:rPr>
                <w:rFonts w:eastAsia="Times New Roman" w:cs="Arial"/>
                <w:sz w:val="24"/>
                <w:szCs w:val="24"/>
                <w:lang w:eastAsia="en-GB"/>
              </w:rPr>
            </w:pPr>
            <w:r w:rsidRPr="00D20CB1">
              <w:rPr>
                <w:sz w:val="24"/>
                <w:szCs w:val="24"/>
              </w:rPr>
              <w:t>23%</w:t>
            </w:r>
          </w:p>
        </w:tc>
        <w:tc>
          <w:tcPr>
            <w:tcW w:w="1417" w:type="dxa"/>
            <w:noWrap/>
            <w:vAlign w:val="center"/>
          </w:tcPr>
          <w:p w14:paraId="1E7149B3" w14:textId="77777777" w:rsidR="005B0629" w:rsidRPr="00D20CB1" w:rsidRDefault="005B0629" w:rsidP="00B116C8">
            <w:pPr>
              <w:jc w:val="right"/>
              <w:rPr>
                <w:rFonts w:eastAsia="Times New Roman" w:cs="Arial"/>
                <w:sz w:val="24"/>
                <w:szCs w:val="24"/>
                <w:lang w:eastAsia="en-GB"/>
              </w:rPr>
            </w:pPr>
            <w:r w:rsidRPr="00D20CB1">
              <w:rPr>
                <w:sz w:val="24"/>
                <w:szCs w:val="24"/>
              </w:rPr>
              <w:t>24%</w:t>
            </w:r>
          </w:p>
        </w:tc>
      </w:tr>
      <w:tr w:rsidR="005B0629" w:rsidRPr="00D20CB1" w14:paraId="53F1F69A" w14:textId="77777777" w:rsidTr="00B116C8">
        <w:trPr>
          <w:trHeight w:val="290"/>
        </w:trPr>
        <w:tc>
          <w:tcPr>
            <w:tcW w:w="1865" w:type="dxa"/>
            <w:noWrap/>
            <w:hideMark/>
          </w:tcPr>
          <w:p w14:paraId="56D569EE" w14:textId="77777777" w:rsidR="005B0629" w:rsidRPr="00D20CB1" w:rsidRDefault="005B0629" w:rsidP="00B116C8">
            <w:pPr>
              <w:rPr>
                <w:rFonts w:eastAsia="Times New Roman" w:cs="Arial"/>
                <w:sz w:val="24"/>
                <w:szCs w:val="24"/>
                <w:lang w:eastAsia="en-GB"/>
              </w:rPr>
            </w:pPr>
            <w:r w:rsidRPr="00D20CB1">
              <w:rPr>
                <w:rFonts w:eastAsia="Times New Roman" w:cs="Arial"/>
                <w:sz w:val="24"/>
                <w:szCs w:val="24"/>
                <w:lang w:eastAsia="en-GB"/>
              </w:rPr>
              <w:t>Huntingdonshire</w:t>
            </w:r>
          </w:p>
        </w:tc>
        <w:tc>
          <w:tcPr>
            <w:tcW w:w="1439" w:type="dxa"/>
            <w:noWrap/>
            <w:vAlign w:val="center"/>
          </w:tcPr>
          <w:p w14:paraId="544DC1E0"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5,453 </w:t>
            </w:r>
          </w:p>
        </w:tc>
        <w:tc>
          <w:tcPr>
            <w:tcW w:w="1439" w:type="dxa"/>
            <w:noWrap/>
            <w:vAlign w:val="center"/>
          </w:tcPr>
          <w:p w14:paraId="4613963A"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5,769 </w:t>
            </w:r>
          </w:p>
        </w:tc>
        <w:tc>
          <w:tcPr>
            <w:tcW w:w="1417" w:type="dxa"/>
            <w:noWrap/>
            <w:vAlign w:val="center"/>
          </w:tcPr>
          <w:p w14:paraId="7876FF77"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33,863 </w:t>
            </w:r>
          </w:p>
        </w:tc>
        <w:tc>
          <w:tcPr>
            <w:tcW w:w="1439" w:type="dxa"/>
            <w:noWrap/>
            <w:vAlign w:val="center"/>
          </w:tcPr>
          <w:p w14:paraId="0833749D" w14:textId="77777777" w:rsidR="005B0629" w:rsidRPr="00D20CB1" w:rsidRDefault="005B0629" w:rsidP="00B116C8">
            <w:pPr>
              <w:jc w:val="right"/>
              <w:rPr>
                <w:rFonts w:eastAsia="Times New Roman" w:cs="Arial"/>
                <w:sz w:val="24"/>
                <w:szCs w:val="24"/>
                <w:lang w:eastAsia="en-GB"/>
              </w:rPr>
            </w:pPr>
            <w:r w:rsidRPr="00D20CB1">
              <w:rPr>
                <w:sz w:val="24"/>
                <w:szCs w:val="24"/>
              </w:rPr>
              <w:t>16%</w:t>
            </w:r>
          </w:p>
        </w:tc>
        <w:tc>
          <w:tcPr>
            <w:tcW w:w="1417" w:type="dxa"/>
            <w:noWrap/>
            <w:vAlign w:val="center"/>
          </w:tcPr>
          <w:p w14:paraId="390D7298" w14:textId="77777777" w:rsidR="005B0629" w:rsidRPr="00D20CB1" w:rsidRDefault="005B0629" w:rsidP="00B116C8">
            <w:pPr>
              <w:jc w:val="right"/>
              <w:rPr>
                <w:rFonts w:eastAsia="Times New Roman" w:cs="Arial"/>
                <w:sz w:val="24"/>
                <w:szCs w:val="24"/>
                <w:lang w:eastAsia="en-GB"/>
              </w:rPr>
            </w:pPr>
            <w:r w:rsidRPr="00D20CB1">
              <w:rPr>
                <w:sz w:val="24"/>
                <w:szCs w:val="24"/>
              </w:rPr>
              <w:t>17%</w:t>
            </w:r>
          </w:p>
        </w:tc>
      </w:tr>
      <w:tr w:rsidR="005B0629" w:rsidRPr="00D20CB1" w14:paraId="50FD4EA1" w14:textId="77777777" w:rsidTr="00B116C8">
        <w:trPr>
          <w:trHeight w:val="290"/>
        </w:trPr>
        <w:tc>
          <w:tcPr>
            <w:tcW w:w="1865" w:type="dxa"/>
            <w:noWrap/>
            <w:hideMark/>
          </w:tcPr>
          <w:p w14:paraId="048E536E" w14:textId="77777777" w:rsidR="005B0629" w:rsidRPr="00D20CB1" w:rsidRDefault="005B0629" w:rsidP="00B116C8">
            <w:pPr>
              <w:rPr>
                <w:rFonts w:eastAsia="Times New Roman" w:cs="Arial"/>
                <w:sz w:val="24"/>
                <w:szCs w:val="24"/>
                <w:lang w:eastAsia="en-GB"/>
              </w:rPr>
            </w:pPr>
            <w:r w:rsidRPr="00D20CB1">
              <w:rPr>
                <w:rFonts w:eastAsia="Times New Roman" w:cs="Arial"/>
                <w:sz w:val="24"/>
                <w:szCs w:val="24"/>
                <w:lang w:eastAsia="en-GB"/>
              </w:rPr>
              <w:t>Dacorum</w:t>
            </w:r>
          </w:p>
        </w:tc>
        <w:tc>
          <w:tcPr>
            <w:tcW w:w="1439" w:type="dxa"/>
            <w:noWrap/>
            <w:vAlign w:val="center"/>
          </w:tcPr>
          <w:p w14:paraId="63236280"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4,669 </w:t>
            </w:r>
          </w:p>
        </w:tc>
        <w:tc>
          <w:tcPr>
            <w:tcW w:w="1439" w:type="dxa"/>
            <w:noWrap/>
            <w:vAlign w:val="center"/>
          </w:tcPr>
          <w:p w14:paraId="5F86A389"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4,939 </w:t>
            </w:r>
          </w:p>
        </w:tc>
        <w:tc>
          <w:tcPr>
            <w:tcW w:w="1417" w:type="dxa"/>
            <w:noWrap/>
            <w:vAlign w:val="center"/>
          </w:tcPr>
          <w:p w14:paraId="4B3CB335"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31,955 </w:t>
            </w:r>
          </w:p>
        </w:tc>
        <w:tc>
          <w:tcPr>
            <w:tcW w:w="1439" w:type="dxa"/>
            <w:noWrap/>
            <w:vAlign w:val="center"/>
          </w:tcPr>
          <w:p w14:paraId="72B3DC6E" w14:textId="77777777" w:rsidR="005B0629" w:rsidRPr="00D20CB1" w:rsidRDefault="005B0629" w:rsidP="00B116C8">
            <w:pPr>
              <w:jc w:val="right"/>
              <w:rPr>
                <w:rFonts w:eastAsia="Times New Roman" w:cs="Arial"/>
                <w:sz w:val="24"/>
                <w:szCs w:val="24"/>
                <w:lang w:eastAsia="en-GB"/>
              </w:rPr>
            </w:pPr>
            <w:r w:rsidRPr="00D20CB1">
              <w:rPr>
                <w:sz w:val="24"/>
                <w:szCs w:val="24"/>
              </w:rPr>
              <w:t>15%</w:t>
            </w:r>
          </w:p>
        </w:tc>
        <w:tc>
          <w:tcPr>
            <w:tcW w:w="1417" w:type="dxa"/>
            <w:noWrap/>
            <w:vAlign w:val="center"/>
          </w:tcPr>
          <w:p w14:paraId="791C628A" w14:textId="77777777" w:rsidR="005B0629" w:rsidRPr="00D20CB1" w:rsidRDefault="005B0629" w:rsidP="00B116C8">
            <w:pPr>
              <w:jc w:val="right"/>
              <w:rPr>
                <w:rFonts w:eastAsia="Times New Roman" w:cs="Arial"/>
                <w:sz w:val="24"/>
                <w:szCs w:val="24"/>
                <w:lang w:eastAsia="en-GB"/>
              </w:rPr>
            </w:pPr>
            <w:r w:rsidRPr="00D20CB1">
              <w:rPr>
                <w:sz w:val="24"/>
                <w:szCs w:val="24"/>
              </w:rPr>
              <w:t>15%</w:t>
            </w:r>
          </w:p>
        </w:tc>
      </w:tr>
      <w:tr w:rsidR="005B0629" w:rsidRPr="00D20CB1" w14:paraId="35432428" w14:textId="77777777" w:rsidTr="00B116C8">
        <w:trPr>
          <w:trHeight w:val="290"/>
        </w:trPr>
        <w:tc>
          <w:tcPr>
            <w:tcW w:w="1865" w:type="dxa"/>
            <w:noWrap/>
            <w:hideMark/>
          </w:tcPr>
          <w:p w14:paraId="20BE5221" w14:textId="77777777" w:rsidR="005B0629" w:rsidRPr="00D20CB1" w:rsidRDefault="005B0629" w:rsidP="00B116C8">
            <w:pPr>
              <w:rPr>
                <w:rFonts w:eastAsia="Times New Roman" w:cs="Arial"/>
                <w:sz w:val="24"/>
                <w:szCs w:val="24"/>
                <w:lang w:eastAsia="en-GB"/>
              </w:rPr>
            </w:pPr>
            <w:r w:rsidRPr="00D20CB1">
              <w:rPr>
                <w:rFonts w:eastAsia="Times New Roman" w:cs="Arial"/>
                <w:sz w:val="24"/>
                <w:szCs w:val="24"/>
                <w:lang w:eastAsia="en-GB"/>
              </w:rPr>
              <w:t>North Hertfordshire</w:t>
            </w:r>
          </w:p>
        </w:tc>
        <w:tc>
          <w:tcPr>
            <w:tcW w:w="1439" w:type="dxa"/>
            <w:noWrap/>
            <w:vAlign w:val="center"/>
          </w:tcPr>
          <w:p w14:paraId="40617515"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3,902 </w:t>
            </w:r>
          </w:p>
        </w:tc>
        <w:tc>
          <w:tcPr>
            <w:tcW w:w="1439" w:type="dxa"/>
            <w:noWrap/>
            <w:vAlign w:val="center"/>
          </w:tcPr>
          <w:p w14:paraId="75D59033"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3,853 </w:t>
            </w:r>
          </w:p>
        </w:tc>
        <w:tc>
          <w:tcPr>
            <w:tcW w:w="1417" w:type="dxa"/>
            <w:noWrap/>
            <w:vAlign w:val="center"/>
          </w:tcPr>
          <w:p w14:paraId="1D09F21C"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25,699 </w:t>
            </w:r>
          </w:p>
        </w:tc>
        <w:tc>
          <w:tcPr>
            <w:tcW w:w="1439" w:type="dxa"/>
            <w:noWrap/>
            <w:vAlign w:val="center"/>
          </w:tcPr>
          <w:p w14:paraId="2199E022" w14:textId="77777777" w:rsidR="005B0629" w:rsidRPr="00D20CB1" w:rsidRDefault="005B0629" w:rsidP="00B116C8">
            <w:pPr>
              <w:jc w:val="right"/>
              <w:rPr>
                <w:rFonts w:eastAsia="Times New Roman" w:cs="Arial"/>
                <w:sz w:val="24"/>
                <w:szCs w:val="24"/>
                <w:lang w:eastAsia="en-GB"/>
              </w:rPr>
            </w:pPr>
            <w:r w:rsidRPr="00D20CB1">
              <w:rPr>
                <w:sz w:val="24"/>
                <w:szCs w:val="24"/>
              </w:rPr>
              <w:t>15%</w:t>
            </w:r>
          </w:p>
        </w:tc>
        <w:tc>
          <w:tcPr>
            <w:tcW w:w="1417" w:type="dxa"/>
            <w:noWrap/>
            <w:vAlign w:val="center"/>
          </w:tcPr>
          <w:p w14:paraId="27384887" w14:textId="77777777" w:rsidR="005B0629" w:rsidRPr="00D20CB1" w:rsidRDefault="005B0629" w:rsidP="00B116C8">
            <w:pPr>
              <w:jc w:val="right"/>
              <w:rPr>
                <w:rFonts w:eastAsia="Times New Roman" w:cs="Arial"/>
                <w:sz w:val="24"/>
                <w:szCs w:val="24"/>
                <w:lang w:eastAsia="en-GB"/>
              </w:rPr>
            </w:pPr>
            <w:r w:rsidRPr="00D20CB1">
              <w:rPr>
                <w:sz w:val="24"/>
                <w:szCs w:val="24"/>
              </w:rPr>
              <w:t>15%</w:t>
            </w:r>
          </w:p>
        </w:tc>
      </w:tr>
      <w:tr w:rsidR="005B0629" w:rsidRPr="00D20CB1" w14:paraId="513C92EF" w14:textId="77777777" w:rsidTr="00B116C8">
        <w:trPr>
          <w:trHeight w:val="290"/>
        </w:trPr>
        <w:tc>
          <w:tcPr>
            <w:tcW w:w="1865" w:type="dxa"/>
            <w:noWrap/>
            <w:hideMark/>
          </w:tcPr>
          <w:p w14:paraId="6BCEE673" w14:textId="77777777" w:rsidR="005B0629" w:rsidRPr="00D20CB1" w:rsidRDefault="005B0629" w:rsidP="00B116C8">
            <w:pPr>
              <w:rPr>
                <w:rFonts w:eastAsia="Times New Roman" w:cs="Arial"/>
                <w:sz w:val="24"/>
                <w:szCs w:val="24"/>
                <w:lang w:eastAsia="en-GB"/>
              </w:rPr>
            </w:pPr>
            <w:r w:rsidRPr="00D20CB1">
              <w:rPr>
                <w:rFonts w:eastAsia="Times New Roman" w:cs="Arial"/>
                <w:sz w:val="24"/>
                <w:szCs w:val="24"/>
                <w:lang w:eastAsia="en-GB"/>
              </w:rPr>
              <w:t>South Cambridgeshire</w:t>
            </w:r>
          </w:p>
        </w:tc>
        <w:tc>
          <w:tcPr>
            <w:tcW w:w="1439" w:type="dxa"/>
            <w:noWrap/>
            <w:vAlign w:val="center"/>
          </w:tcPr>
          <w:p w14:paraId="7B6BB466"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3,806 </w:t>
            </w:r>
          </w:p>
        </w:tc>
        <w:tc>
          <w:tcPr>
            <w:tcW w:w="1439" w:type="dxa"/>
            <w:noWrap/>
            <w:vAlign w:val="center"/>
          </w:tcPr>
          <w:p w14:paraId="6DF4992C"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3,899 </w:t>
            </w:r>
          </w:p>
        </w:tc>
        <w:tc>
          <w:tcPr>
            <w:tcW w:w="1417" w:type="dxa"/>
            <w:noWrap/>
            <w:vAlign w:val="center"/>
          </w:tcPr>
          <w:p w14:paraId="5BA53162"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33,422 </w:t>
            </w:r>
          </w:p>
        </w:tc>
        <w:tc>
          <w:tcPr>
            <w:tcW w:w="1439" w:type="dxa"/>
            <w:noWrap/>
            <w:vAlign w:val="center"/>
          </w:tcPr>
          <w:p w14:paraId="6B6454F1" w14:textId="77777777" w:rsidR="005B0629" w:rsidRPr="00D20CB1" w:rsidRDefault="005B0629" w:rsidP="00B116C8">
            <w:pPr>
              <w:jc w:val="right"/>
              <w:rPr>
                <w:rFonts w:eastAsia="Times New Roman" w:cs="Arial"/>
                <w:sz w:val="24"/>
                <w:szCs w:val="24"/>
                <w:lang w:eastAsia="en-GB"/>
              </w:rPr>
            </w:pPr>
            <w:r w:rsidRPr="00D20CB1">
              <w:rPr>
                <w:sz w:val="24"/>
                <w:szCs w:val="24"/>
              </w:rPr>
              <w:t>11%</w:t>
            </w:r>
          </w:p>
        </w:tc>
        <w:tc>
          <w:tcPr>
            <w:tcW w:w="1417" w:type="dxa"/>
            <w:noWrap/>
            <w:vAlign w:val="center"/>
          </w:tcPr>
          <w:p w14:paraId="031B8150" w14:textId="77777777" w:rsidR="005B0629" w:rsidRPr="00D20CB1" w:rsidRDefault="005B0629" w:rsidP="00B116C8">
            <w:pPr>
              <w:jc w:val="right"/>
              <w:rPr>
                <w:rFonts w:eastAsia="Times New Roman" w:cs="Arial"/>
                <w:sz w:val="24"/>
                <w:szCs w:val="24"/>
                <w:lang w:eastAsia="en-GB"/>
              </w:rPr>
            </w:pPr>
            <w:r w:rsidRPr="00D20CB1">
              <w:rPr>
                <w:sz w:val="24"/>
                <w:szCs w:val="24"/>
              </w:rPr>
              <w:t>12%</w:t>
            </w:r>
          </w:p>
        </w:tc>
      </w:tr>
      <w:tr w:rsidR="005B0629" w:rsidRPr="00D20CB1" w14:paraId="01A03E79" w14:textId="77777777" w:rsidTr="00B116C8">
        <w:trPr>
          <w:trHeight w:val="290"/>
        </w:trPr>
        <w:tc>
          <w:tcPr>
            <w:tcW w:w="1865" w:type="dxa"/>
            <w:noWrap/>
            <w:hideMark/>
          </w:tcPr>
          <w:p w14:paraId="1BDDAF80" w14:textId="77777777" w:rsidR="005B0629" w:rsidRPr="00D20CB1" w:rsidRDefault="005B0629" w:rsidP="00B116C8">
            <w:pPr>
              <w:rPr>
                <w:rFonts w:eastAsia="Times New Roman" w:cs="Arial"/>
                <w:sz w:val="24"/>
                <w:szCs w:val="24"/>
                <w:lang w:eastAsia="en-GB"/>
              </w:rPr>
            </w:pPr>
            <w:r w:rsidRPr="00D20CB1">
              <w:rPr>
                <w:rFonts w:eastAsia="Times New Roman" w:cs="Arial"/>
                <w:sz w:val="24"/>
                <w:szCs w:val="24"/>
                <w:lang w:eastAsia="en-GB"/>
              </w:rPr>
              <w:t>St Albans</w:t>
            </w:r>
          </w:p>
        </w:tc>
        <w:tc>
          <w:tcPr>
            <w:tcW w:w="1439" w:type="dxa"/>
            <w:noWrap/>
            <w:vAlign w:val="center"/>
          </w:tcPr>
          <w:p w14:paraId="22A26F5C"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3,362 </w:t>
            </w:r>
          </w:p>
        </w:tc>
        <w:tc>
          <w:tcPr>
            <w:tcW w:w="1439" w:type="dxa"/>
            <w:noWrap/>
            <w:vAlign w:val="center"/>
          </w:tcPr>
          <w:p w14:paraId="4C96D631"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3,466 </w:t>
            </w:r>
          </w:p>
        </w:tc>
        <w:tc>
          <w:tcPr>
            <w:tcW w:w="1417" w:type="dxa"/>
            <w:noWrap/>
            <w:vAlign w:val="center"/>
          </w:tcPr>
          <w:p w14:paraId="51A3F15D" w14:textId="77777777" w:rsidR="005B0629" w:rsidRPr="00D20CB1" w:rsidRDefault="005B0629" w:rsidP="00B116C8">
            <w:pPr>
              <w:jc w:val="right"/>
              <w:rPr>
                <w:rFonts w:eastAsia="Times New Roman" w:cs="Arial"/>
                <w:sz w:val="24"/>
                <w:szCs w:val="24"/>
                <w:lang w:eastAsia="en-GB"/>
              </w:rPr>
            </w:pPr>
            <w:r w:rsidRPr="00D20CB1">
              <w:rPr>
                <w:sz w:val="24"/>
                <w:szCs w:val="24"/>
              </w:rPr>
              <w:t xml:space="preserve"> 32,015 </w:t>
            </w:r>
          </w:p>
        </w:tc>
        <w:tc>
          <w:tcPr>
            <w:tcW w:w="1439" w:type="dxa"/>
            <w:noWrap/>
            <w:vAlign w:val="center"/>
          </w:tcPr>
          <w:p w14:paraId="196F5547" w14:textId="77777777" w:rsidR="005B0629" w:rsidRPr="00D20CB1" w:rsidRDefault="005B0629" w:rsidP="00B116C8">
            <w:pPr>
              <w:jc w:val="right"/>
              <w:rPr>
                <w:rFonts w:eastAsia="Times New Roman" w:cs="Arial"/>
                <w:sz w:val="24"/>
                <w:szCs w:val="24"/>
                <w:lang w:eastAsia="en-GB"/>
              </w:rPr>
            </w:pPr>
            <w:r w:rsidRPr="00D20CB1">
              <w:rPr>
                <w:sz w:val="24"/>
                <w:szCs w:val="24"/>
              </w:rPr>
              <w:t>11%</w:t>
            </w:r>
          </w:p>
        </w:tc>
        <w:tc>
          <w:tcPr>
            <w:tcW w:w="1417" w:type="dxa"/>
            <w:noWrap/>
            <w:vAlign w:val="center"/>
          </w:tcPr>
          <w:p w14:paraId="5F274C20" w14:textId="77777777" w:rsidR="005B0629" w:rsidRPr="00D20CB1" w:rsidRDefault="005B0629" w:rsidP="00B116C8">
            <w:pPr>
              <w:jc w:val="right"/>
              <w:rPr>
                <w:rFonts w:eastAsia="Times New Roman" w:cs="Arial"/>
                <w:sz w:val="24"/>
                <w:szCs w:val="24"/>
                <w:lang w:eastAsia="en-GB"/>
              </w:rPr>
            </w:pPr>
            <w:r w:rsidRPr="00D20CB1">
              <w:rPr>
                <w:sz w:val="24"/>
                <w:szCs w:val="24"/>
              </w:rPr>
              <w:t>11%</w:t>
            </w:r>
          </w:p>
        </w:tc>
      </w:tr>
      <w:tr w:rsidR="005B0629" w:rsidRPr="00D20CB1" w14:paraId="03BB8650" w14:textId="77777777" w:rsidTr="00B116C8">
        <w:trPr>
          <w:trHeight w:val="290"/>
        </w:trPr>
        <w:tc>
          <w:tcPr>
            <w:tcW w:w="1865" w:type="dxa"/>
            <w:noWrap/>
          </w:tcPr>
          <w:p w14:paraId="7B894912" w14:textId="77777777" w:rsidR="005B0629" w:rsidRPr="00D20CB1" w:rsidRDefault="005B0629" w:rsidP="00B116C8">
            <w:pPr>
              <w:rPr>
                <w:rFonts w:eastAsia="Times New Roman" w:cs="Arial"/>
                <w:sz w:val="24"/>
                <w:szCs w:val="24"/>
                <w:lang w:eastAsia="en-GB"/>
              </w:rPr>
            </w:pPr>
            <w:r w:rsidRPr="00D20CB1">
              <w:rPr>
                <w:rFonts w:eastAsia="Times New Roman" w:cs="Arial"/>
                <w:sz w:val="24"/>
                <w:szCs w:val="24"/>
                <w:lang w:eastAsia="en-GB"/>
              </w:rPr>
              <w:t>Milton Keynes</w:t>
            </w:r>
          </w:p>
        </w:tc>
        <w:tc>
          <w:tcPr>
            <w:tcW w:w="1439" w:type="dxa"/>
            <w:noWrap/>
          </w:tcPr>
          <w:p w14:paraId="5CC542AE" w14:textId="77777777" w:rsidR="005B0629" w:rsidRPr="00D20CB1" w:rsidRDefault="005B0629" w:rsidP="00B116C8">
            <w:pPr>
              <w:jc w:val="right"/>
              <w:rPr>
                <w:sz w:val="24"/>
                <w:szCs w:val="24"/>
              </w:rPr>
            </w:pPr>
            <w:r w:rsidRPr="00D20CB1">
              <w:rPr>
                <w:sz w:val="24"/>
                <w:szCs w:val="24"/>
              </w:rPr>
              <w:t xml:space="preserve"> 13,866 </w:t>
            </w:r>
          </w:p>
        </w:tc>
        <w:tc>
          <w:tcPr>
            <w:tcW w:w="1439" w:type="dxa"/>
            <w:noWrap/>
          </w:tcPr>
          <w:p w14:paraId="169BFE6E" w14:textId="77777777" w:rsidR="005B0629" w:rsidRPr="00D20CB1" w:rsidRDefault="005B0629" w:rsidP="00B116C8">
            <w:pPr>
              <w:jc w:val="right"/>
              <w:rPr>
                <w:sz w:val="24"/>
                <w:szCs w:val="24"/>
              </w:rPr>
            </w:pPr>
            <w:r w:rsidRPr="00D20CB1">
              <w:rPr>
                <w:sz w:val="24"/>
                <w:szCs w:val="24"/>
              </w:rPr>
              <w:t xml:space="preserve"> 14,816 </w:t>
            </w:r>
          </w:p>
        </w:tc>
        <w:tc>
          <w:tcPr>
            <w:tcW w:w="1417" w:type="dxa"/>
            <w:noWrap/>
          </w:tcPr>
          <w:p w14:paraId="797C870B" w14:textId="77777777" w:rsidR="005B0629" w:rsidRPr="00D20CB1" w:rsidRDefault="005B0629" w:rsidP="00B116C8">
            <w:pPr>
              <w:jc w:val="right"/>
              <w:rPr>
                <w:sz w:val="24"/>
                <w:szCs w:val="24"/>
              </w:rPr>
            </w:pPr>
            <w:r w:rsidRPr="00D20CB1">
              <w:rPr>
                <w:sz w:val="24"/>
                <w:szCs w:val="24"/>
              </w:rPr>
              <w:t xml:space="preserve"> 64,985 </w:t>
            </w:r>
          </w:p>
        </w:tc>
        <w:tc>
          <w:tcPr>
            <w:tcW w:w="1439" w:type="dxa"/>
            <w:noWrap/>
          </w:tcPr>
          <w:p w14:paraId="39559CF8" w14:textId="77777777" w:rsidR="005B0629" w:rsidRPr="00D20CB1" w:rsidRDefault="005B0629" w:rsidP="00B116C8">
            <w:pPr>
              <w:jc w:val="right"/>
              <w:rPr>
                <w:sz w:val="24"/>
                <w:szCs w:val="24"/>
              </w:rPr>
            </w:pPr>
            <w:r w:rsidRPr="00D20CB1">
              <w:rPr>
                <w:sz w:val="24"/>
                <w:szCs w:val="24"/>
              </w:rPr>
              <w:t>21%</w:t>
            </w:r>
          </w:p>
        </w:tc>
        <w:tc>
          <w:tcPr>
            <w:tcW w:w="1417" w:type="dxa"/>
            <w:noWrap/>
          </w:tcPr>
          <w:p w14:paraId="2473A632" w14:textId="77777777" w:rsidR="005B0629" w:rsidRPr="00D20CB1" w:rsidRDefault="005B0629" w:rsidP="00B116C8">
            <w:pPr>
              <w:jc w:val="right"/>
              <w:rPr>
                <w:sz w:val="24"/>
                <w:szCs w:val="24"/>
              </w:rPr>
            </w:pPr>
            <w:r w:rsidRPr="00D20CB1">
              <w:rPr>
                <w:sz w:val="24"/>
                <w:szCs w:val="24"/>
              </w:rPr>
              <w:t>23%</w:t>
            </w:r>
          </w:p>
        </w:tc>
      </w:tr>
    </w:tbl>
    <w:p w14:paraId="4C1C5CBD" w14:textId="77777777" w:rsidR="005B0629" w:rsidRPr="005B0629" w:rsidRDefault="005B0629" w:rsidP="005B0629">
      <w:pPr>
        <w:spacing w:after="0" w:line="240" w:lineRule="auto"/>
        <w:rPr>
          <w:rFonts w:eastAsia="Times New Roman" w:cs="Calibri"/>
          <w:kern w:val="0"/>
          <w:lang w:eastAsia="en-GB"/>
          <w14:ligatures w14:val="none"/>
        </w:rPr>
      </w:pPr>
      <w:r w:rsidRPr="005B0629">
        <w:rPr>
          <w:rFonts w:eastAsia="Times New Roman" w:cs="Calibri"/>
          <w:b/>
          <w:bCs/>
          <w:kern w:val="0"/>
          <w:lang w:eastAsia="en-GB"/>
          <w14:ligatures w14:val="none"/>
        </w:rPr>
        <w:t>Sources:</w:t>
      </w:r>
      <w:r w:rsidRPr="005B0629">
        <w:rPr>
          <w:rFonts w:eastAsia="Times New Roman" w:cs="Calibri"/>
          <w:kern w:val="0"/>
          <w:lang w:eastAsia="en-GB"/>
          <w14:ligatures w14:val="none"/>
        </w:rPr>
        <w:t xml:space="preserve"> Department for Work and Pensions, Children in low-income families (relative) and Office for National Statistics, Mid-Year Estimates of Population 2023. Note that the rates are a local calculation based on these published figures.</w:t>
      </w:r>
    </w:p>
    <w:p w14:paraId="7FD3A605" w14:textId="77777777" w:rsidR="005B0629" w:rsidRDefault="005B0629" w:rsidP="003438B8">
      <w:pPr>
        <w:spacing w:after="0" w:line="240" w:lineRule="auto"/>
        <w:rPr>
          <w:b/>
          <w:bCs/>
        </w:rPr>
      </w:pPr>
    </w:p>
    <w:p w14:paraId="719BDF2E" w14:textId="306A3319" w:rsidR="00FC5844" w:rsidRDefault="00FC5844" w:rsidP="00587E54">
      <w:pPr>
        <w:spacing w:after="0" w:line="240" w:lineRule="auto"/>
        <w:jc w:val="both"/>
        <w:rPr>
          <w:rFonts w:cstheme="minorHAnsi"/>
          <w:b/>
          <w:lang w:val="en-US"/>
        </w:rPr>
      </w:pPr>
      <w:r w:rsidRPr="00FC5844">
        <w:rPr>
          <w:rFonts w:cstheme="minorHAnsi"/>
          <w:b/>
          <w:lang w:val="en-US"/>
        </w:rPr>
        <w:t>Education Information:</w:t>
      </w:r>
    </w:p>
    <w:p w14:paraId="1CE2F679" w14:textId="77777777" w:rsidR="00FC5844" w:rsidRPr="00FC5844" w:rsidRDefault="00FC5844" w:rsidP="00587E54">
      <w:pPr>
        <w:spacing w:after="0" w:line="240" w:lineRule="auto"/>
        <w:jc w:val="both"/>
        <w:rPr>
          <w:rFonts w:cstheme="minorHAnsi"/>
          <w:b/>
          <w:lang w:val="en-US"/>
        </w:rPr>
      </w:pPr>
    </w:p>
    <w:tbl>
      <w:tblPr>
        <w:tblW w:w="0" w:type="auto"/>
        <w:tblCellMar>
          <w:left w:w="0" w:type="dxa"/>
          <w:right w:w="0" w:type="dxa"/>
        </w:tblCellMar>
        <w:tblLook w:val="04A0" w:firstRow="1" w:lastRow="0" w:firstColumn="1" w:lastColumn="0" w:noHBand="0" w:noVBand="1"/>
      </w:tblPr>
      <w:tblGrid>
        <w:gridCol w:w="5235"/>
        <w:gridCol w:w="3771"/>
      </w:tblGrid>
      <w:tr w:rsidR="00FC5844" w:rsidRPr="00D20CB1" w14:paraId="5E4F47F8" w14:textId="77777777" w:rsidTr="00FC5844">
        <w:tc>
          <w:tcPr>
            <w:tcW w:w="9006" w:type="dxa"/>
            <w:gridSpan w:val="2"/>
            <w:tcBorders>
              <w:top w:val="single" w:sz="8" w:space="0" w:color="auto"/>
              <w:left w:val="single" w:sz="8" w:space="0" w:color="auto"/>
              <w:bottom w:val="single" w:sz="8" w:space="0" w:color="auto"/>
              <w:right w:val="single" w:sz="8" w:space="0" w:color="auto"/>
            </w:tcBorders>
            <w:shd w:val="clear" w:color="auto" w:fill="538135"/>
            <w:tcMar>
              <w:top w:w="0" w:type="dxa"/>
              <w:left w:w="108" w:type="dxa"/>
              <w:bottom w:w="0" w:type="dxa"/>
              <w:right w:w="108" w:type="dxa"/>
            </w:tcMar>
            <w:hideMark/>
          </w:tcPr>
          <w:p w14:paraId="288A5799" w14:textId="77777777" w:rsidR="00FC5844" w:rsidRPr="00D20CB1" w:rsidRDefault="00FC5844">
            <w:pPr>
              <w:spacing w:line="252" w:lineRule="auto"/>
              <w:rPr>
                <w:rFonts w:cs="Calibri"/>
                <w:b/>
                <w:bCs/>
                <w:color w:val="000000"/>
                <w:sz w:val="22"/>
                <w:szCs w:val="22"/>
              </w:rPr>
            </w:pPr>
            <w:r w:rsidRPr="00D20CB1">
              <w:rPr>
                <w:rFonts w:cs="Calibri"/>
                <w:b/>
                <w:bCs/>
                <w:color w:val="000000"/>
                <w:lang w:val="en-US"/>
              </w:rPr>
              <w:t xml:space="preserve">Education Information January 2025 census </w:t>
            </w:r>
          </w:p>
        </w:tc>
      </w:tr>
      <w:tr w:rsidR="00FC5844" w:rsidRPr="00D20CB1" w14:paraId="5567F022" w14:textId="77777777" w:rsidTr="00FC5844">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8E88F" w14:textId="77777777" w:rsidR="00FC5844" w:rsidRPr="00D20CB1" w:rsidRDefault="00FC5844">
            <w:pPr>
              <w:spacing w:line="252" w:lineRule="auto"/>
              <w:rPr>
                <w:rFonts w:cs="Calibri"/>
              </w:rPr>
            </w:pPr>
            <w:r w:rsidRPr="00D20CB1">
              <w:rPr>
                <w:rFonts w:cs="Calibri"/>
              </w:rPr>
              <w:t>No. pupils in Central Bedfordshire schools</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14:paraId="794E8C43" w14:textId="77777777" w:rsidR="00FC5844" w:rsidRPr="00D20CB1" w:rsidRDefault="00FC5844">
            <w:pPr>
              <w:spacing w:line="252" w:lineRule="auto"/>
              <w:rPr>
                <w:rFonts w:cs="Calibri"/>
              </w:rPr>
            </w:pPr>
            <w:r w:rsidRPr="00D20CB1">
              <w:rPr>
                <w:rFonts w:cs="Calibri"/>
              </w:rPr>
              <w:t>49415</w:t>
            </w:r>
          </w:p>
        </w:tc>
      </w:tr>
      <w:tr w:rsidR="00FC5844" w:rsidRPr="00D20CB1" w14:paraId="4A50D829" w14:textId="77777777" w:rsidTr="00FC5844">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423B1" w14:textId="77777777" w:rsidR="00FC5844" w:rsidRPr="00D20CB1" w:rsidRDefault="00FC5844">
            <w:pPr>
              <w:spacing w:line="252" w:lineRule="auto"/>
              <w:rPr>
                <w:rFonts w:cs="Calibri"/>
              </w:rPr>
            </w:pPr>
            <w:r w:rsidRPr="00D20CB1">
              <w:rPr>
                <w:rFonts w:cs="Calibri"/>
              </w:rPr>
              <w:t>% of minority ethnic background</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14:paraId="758A00E2" w14:textId="77777777" w:rsidR="00FC5844" w:rsidRPr="00D20CB1" w:rsidRDefault="00FC5844">
            <w:pPr>
              <w:spacing w:line="252" w:lineRule="auto"/>
              <w:rPr>
                <w:rFonts w:cs="Calibri"/>
              </w:rPr>
            </w:pPr>
            <w:r w:rsidRPr="00D20CB1">
              <w:rPr>
                <w:rFonts w:cs="Calibri"/>
              </w:rPr>
              <w:t>25.5% (England 38.0%)</w:t>
            </w:r>
          </w:p>
        </w:tc>
      </w:tr>
      <w:tr w:rsidR="00FC5844" w:rsidRPr="00D20CB1" w14:paraId="398D3C63" w14:textId="77777777" w:rsidTr="00FC5844">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172B1" w14:textId="77777777" w:rsidR="00FC5844" w:rsidRPr="00D20CB1" w:rsidRDefault="00FC5844">
            <w:pPr>
              <w:spacing w:line="252" w:lineRule="auto"/>
              <w:rPr>
                <w:rFonts w:cs="Calibri"/>
              </w:rPr>
            </w:pPr>
            <w:r w:rsidRPr="00D20CB1">
              <w:rPr>
                <w:rFonts w:cs="Calibri"/>
              </w:rPr>
              <w:t>No. of pupils eligible for Free School Meals (FSM)</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14:paraId="7319A2F3" w14:textId="77777777" w:rsidR="00FC5844" w:rsidRPr="00D20CB1" w:rsidRDefault="00FC5844">
            <w:pPr>
              <w:spacing w:line="252" w:lineRule="auto"/>
              <w:rPr>
                <w:rFonts w:cs="Calibri"/>
              </w:rPr>
            </w:pPr>
            <w:r w:rsidRPr="00D20CB1">
              <w:rPr>
                <w:rFonts w:cs="Calibri"/>
              </w:rPr>
              <w:t>14.0% (England 25.7%)</w:t>
            </w:r>
          </w:p>
        </w:tc>
      </w:tr>
      <w:tr w:rsidR="00FC5844" w:rsidRPr="00D20CB1" w14:paraId="12E53E26" w14:textId="77777777" w:rsidTr="00FC5844">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28265" w14:textId="77777777" w:rsidR="00FC5844" w:rsidRPr="00D20CB1" w:rsidRDefault="00FC5844">
            <w:pPr>
              <w:spacing w:line="252" w:lineRule="auto"/>
              <w:rPr>
                <w:rFonts w:cs="Calibri"/>
              </w:rPr>
            </w:pPr>
            <w:r w:rsidRPr="00D20CB1">
              <w:rPr>
                <w:rFonts w:cs="Calibri"/>
              </w:rPr>
              <w:t>No. of pupils receiving Free School Meals (FSM)</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14:paraId="4A615420" w14:textId="77777777" w:rsidR="00FC5844" w:rsidRPr="00D20CB1" w:rsidRDefault="00FC5844">
            <w:pPr>
              <w:spacing w:line="252" w:lineRule="auto"/>
              <w:rPr>
                <w:rFonts w:cs="Calibri"/>
              </w:rPr>
            </w:pPr>
            <w:r w:rsidRPr="00D20CB1">
              <w:rPr>
                <w:rFonts w:cs="Calibri"/>
              </w:rPr>
              <w:t>6914</w:t>
            </w:r>
          </w:p>
        </w:tc>
      </w:tr>
      <w:tr w:rsidR="00FC5844" w:rsidRPr="00D20CB1" w14:paraId="0C677AF7" w14:textId="77777777" w:rsidTr="00FC5844">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DE834" w14:textId="77777777" w:rsidR="00FC5844" w:rsidRPr="00D20CB1" w:rsidRDefault="00FC5844">
            <w:pPr>
              <w:spacing w:line="252" w:lineRule="auto"/>
              <w:rPr>
                <w:rFonts w:cs="Calibri"/>
              </w:rPr>
            </w:pPr>
            <w:r w:rsidRPr="00D20CB1">
              <w:rPr>
                <w:rFonts w:cs="Calibri"/>
              </w:rPr>
              <w:t>No. of children with SEN Support</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14:paraId="02122022" w14:textId="77777777" w:rsidR="00FC5844" w:rsidRPr="00D20CB1" w:rsidRDefault="00FC5844">
            <w:pPr>
              <w:spacing w:line="252" w:lineRule="auto"/>
              <w:rPr>
                <w:rFonts w:cs="Calibri"/>
              </w:rPr>
            </w:pPr>
            <w:r w:rsidRPr="00D20CB1">
              <w:rPr>
                <w:rFonts w:cs="Calibri"/>
              </w:rPr>
              <w:t>5665</w:t>
            </w:r>
          </w:p>
        </w:tc>
      </w:tr>
      <w:tr w:rsidR="00FC5844" w:rsidRPr="00D20CB1" w14:paraId="4DD55C22" w14:textId="77777777" w:rsidTr="00FC5844">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51B90" w14:textId="77777777" w:rsidR="00FC5844" w:rsidRPr="00D20CB1" w:rsidRDefault="00FC5844">
            <w:pPr>
              <w:spacing w:line="252" w:lineRule="auto"/>
              <w:rPr>
                <w:rFonts w:cs="Calibri"/>
              </w:rPr>
            </w:pPr>
            <w:r w:rsidRPr="00D20CB1">
              <w:rPr>
                <w:rFonts w:cs="Calibri"/>
              </w:rPr>
              <w:t>No. of children with Education Health Care Plan (EHCP)</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14:paraId="085F5F3D" w14:textId="77777777" w:rsidR="00FC5844" w:rsidRPr="00D20CB1" w:rsidRDefault="00FC5844">
            <w:pPr>
              <w:spacing w:line="252" w:lineRule="auto"/>
              <w:rPr>
                <w:rFonts w:cs="Calibri"/>
              </w:rPr>
            </w:pPr>
            <w:r w:rsidRPr="00D20CB1">
              <w:rPr>
                <w:rFonts w:cs="Calibri"/>
              </w:rPr>
              <w:t>3068</w:t>
            </w:r>
          </w:p>
        </w:tc>
      </w:tr>
    </w:tbl>
    <w:p w14:paraId="50177DD4" w14:textId="77777777" w:rsidR="009F31EB" w:rsidRDefault="009F31EB" w:rsidP="00587E54">
      <w:pPr>
        <w:spacing w:after="0" w:line="240" w:lineRule="auto"/>
        <w:jc w:val="both"/>
        <w:rPr>
          <w:rFonts w:cstheme="minorHAnsi"/>
          <w:b/>
          <w:lang w:val="en-US"/>
        </w:rPr>
      </w:pPr>
    </w:p>
    <w:p w14:paraId="7718D98D" w14:textId="2482FC58" w:rsidR="00587E54" w:rsidRPr="00587E54" w:rsidRDefault="00587E54" w:rsidP="00CF3F12">
      <w:pPr>
        <w:spacing w:after="0" w:line="240" w:lineRule="auto"/>
        <w:rPr>
          <w:rFonts w:cstheme="minorHAnsi"/>
          <w:b/>
          <w:lang w:val="en-US"/>
        </w:rPr>
      </w:pPr>
      <w:r w:rsidRPr="00587E54">
        <w:rPr>
          <w:rFonts w:cstheme="minorHAnsi"/>
          <w:b/>
          <w:lang w:val="en-US"/>
        </w:rPr>
        <w:t>Vulnerable Children:</w:t>
      </w:r>
    </w:p>
    <w:p w14:paraId="0F5EEBA3" w14:textId="77777777" w:rsidR="00587E54" w:rsidRDefault="00587E54" w:rsidP="00CF3F12">
      <w:pPr>
        <w:autoSpaceDE w:val="0"/>
        <w:autoSpaceDN w:val="0"/>
        <w:adjustRightInd w:val="0"/>
        <w:spacing w:after="0" w:line="240" w:lineRule="auto"/>
        <w:rPr>
          <w:rFonts w:cstheme="minorHAnsi"/>
        </w:rPr>
      </w:pPr>
      <w:r w:rsidRPr="00587E54">
        <w:rPr>
          <w:rFonts w:cstheme="minorHAnsi"/>
          <w:color w:val="000000"/>
        </w:rPr>
        <w:t xml:space="preserve">The majority of children and young people in Central Bedfordshire enjoy safe and healthy lives within their family networks and communities, however, there are a proportion of vulnerable children who are at risk of poorer health and well-being </w:t>
      </w:r>
      <w:r w:rsidRPr="00587E54">
        <w:rPr>
          <w:rFonts w:cstheme="minorHAnsi"/>
          <w:color w:val="000000"/>
        </w:rPr>
        <w:lastRenderedPageBreak/>
        <w:t xml:space="preserve">outcomes. This </w:t>
      </w:r>
      <w:r w:rsidRPr="00587E54">
        <w:rPr>
          <w:rFonts w:cstheme="minorHAnsi"/>
        </w:rPr>
        <w:t>section of the Annual Report sets out those categories of children and young people in Central Bedfordshire who have been identified by the local authority and other agencies as in need of help or protection to promote their welfare.</w:t>
      </w:r>
    </w:p>
    <w:p w14:paraId="58C66306" w14:textId="77777777" w:rsidR="0069535A" w:rsidRPr="0069535A" w:rsidRDefault="0069535A" w:rsidP="00CF3F12">
      <w:pPr>
        <w:autoSpaceDE w:val="0"/>
        <w:autoSpaceDN w:val="0"/>
        <w:adjustRightInd w:val="0"/>
        <w:spacing w:after="0" w:line="240" w:lineRule="auto"/>
        <w:rPr>
          <w:rFonts w:cstheme="minorHAnsi"/>
          <w:b/>
          <w:bCs/>
        </w:rPr>
      </w:pPr>
    </w:p>
    <w:p w14:paraId="09F5AFE7" w14:textId="76EED8FF" w:rsidR="00E20DF5" w:rsidRPr="00E20DF5" w:rsidRDefault="0069535A" w:rsidP="00CF3F12">
      <w:pPr>
        <w:autoSpaceDE w:val="0"/>
        <w:autoSpaceDN w:val="0"/>
        <w:adjustRightInd w:val="0"/>
        <w:spacing w:after="0" w:line="240" w:lineRule="auto"/>
        <w:rPr>
          <w:rFonts w:cstheme="minorHAnsi"/>
        </w:rPr>
      </w:pPr>
      <w:r w:rsidRPr="0069535A">
        <w:rPr>
          <w:rFonts w:cstheme="minorHAnsi"/>
          <w:b/>
          <w:bCs/>
        </w:rPr>
        <w:t>Children’s Services Integrated Front Door:</w:t>
      </w:r>
    </w:p>
    <w:p w14:paraId="3169EAEA" w14:textId="0ED7B83B" w:rsidR="00E20DF5" w:rsidRDefault="00E20DF5" w:rsidP="00CF3F12">
      <w:pPr>
        <w:autoSpaceDE w:val="0"/>
        <w:autoSpaceDN w:val="0"/>
        <w:adjustRightInd w:val="0"/>
        <w:spacing w:after="0" w:line="240" w:lineRule="auto"/>
        <w:rPr>
          <w:rFonts w:cstheme="minorHAnsi"/>
        </w:rPr>
      </w:pPr>
      <w:r>
        <w:rPr>
          <w:rFonts w:cstheme="minorHAnsi"/>
        </w:rPr>
        <w:t xml:space="preserve">The Integrated Front Door Team </w:t>
      </w:r>
      <w:r w:rsidRPr="00E20DF5">
        <w:rPr>
          <w:rFonts w:cstheme="minorHAnsi"/>
        </w:rPr>
        <w:t xml:space="preserve">is the front door for anyone seeking information and/ or services for children, young people, and families, or to make a safeguarding referral. The Multi-Agency Safeguarding Hub (MASH) is based here. </w:t>
      </w:r>
      <w:r w:rsidR="006046B4">
        <w:rPr>
          <w:rFonts w:cstheme="minorHAnsi"/>
        </w:rPr>
        <w:t xml:space="preserve">During </w:t>
      </w:r>
      <w:r w:rsidRPr="00E20DF5">
        <w:rPr>
          <w:rFonts w:cstheme="minorHAnsi"/>
        </w:rPr>
        <w:t>202</w:t>
      </w:r>
      <w:r w:rsidR="006046B4">
        <w:rPr>
          <w:rFonts w:cstheme="minorHAnsi"/>
        </w:rPr>
        <w:t>4</w:t>
      </w:r>
      <w:r w:rsidRPr="00E20DF5">
        <w:rPr>
          <w:rFonts w:cstheme="minorHAnsi"/>
        </w:rPr>
        <w:t>/2</w:t>
      </w:r>
      <w:r w:rsidR="006046B4">
        <w:rPr>
          <w:rFonts w:cstheme="minorHAnsi"/>
        </w:rPr>
        <w:t xml:space="preserve">5 the team </w:t>
      </w:r>
      <w:r w:rsidR="00C9406B">
        <w:rPr>
          <w:rFonts w:cstheme="minorHAnsi"/>
        </w:rPr>
        <w:t>received</w:t>
      </w:r>
      <w:r w:rsidR="006046B4">
        <w:rPr>
          <w:rFonts w:cstheme="minorHAnsi"/>
        </w:rPr>
        <w:t xml:space="preserve"> </w:t>
      </w:r>
      <w:r w:rsidRPr="00E20DF5">
        <w:rPr>
          <w:rFonts w:cstheme="minorHAnsi"/>
        </w:rPr>
        <w:t>17</w:t>
      </w:r>
      <w:r w:rsidR="00355663">
        <w:rPr>
          <w:rFonts w:cstheme="minorHAnsi"/>
        </w:rPr>
        <w:t>,</w:t>
      </w:r>
      <w:r w:rsidR="00C9406B">
        <w:rPr>
          <w:rFonts w:cstheme="minorHAnsi"/>
        </w:rPr>
        <w:t>256</w:t>
      </w:r>
      <w:r w:rsidRPr="00E20DF5">
        <w:rPr>
          <w:rFonts w:cstheme="minorHAnsi"/>
        </w:rPr>
        <w:t xml:space="preserve"> enquiries, and </w:t>
      </w:r>
      <w:r w:rsidR="00C9406B">
        <w:rPr>
          <w:rFonts w:cstheme="minorHAnsi"/>
        </w:rPr>
        <w:t>2,286</w:t>
      </w:r>
      <w:r w:rsidRPr="00E20DF5">
        <w:rPr>
          <w:rFonts w:cstheme="minorHAnsi"/>
        </w:rPr>
        <w:t xml:space="preserve"> referrals into Children’s Social Care. </w:t>
      </w:r>
      <w:r w:rsidR="00C9406B">
        <w:rPr>
          <w:rFonts w:cstheme="minorHAnsi"/>
        </w:rPr>
        <w:t>(compared to 17,247 and 2,100 last year).</w:t>
      </w:r>
    </w:p>
    <w:p w14:paraId="01BABBBF" w14:textId="77777777" w:rsidR="00DB2F53" w:rsidRPr="007B545B" w:rsidRDefault="00DB2F53" w:rsidP="00CF3F12">
      <w:pPr>
        <w:autoSpaceDE w:val="0"/>
        <w:autoSpaceDN w:val="0"/>
        <w:adjustRightInd w:val="0"/>
        <w:spacing w:after="0" w:line="240" w:lineRule="auto"/>
        <w:rPr>
          <w:rFonts w:cstheme="minorHAnsi"/>
          <w:b/>
          <w:bCs/>
        </w:rPr>
      </w:pPr>
    </w:p>
    <w:p w14:paraId="49FED76B" w14:textId="77777777" w:rsidR="007B545B" w:rsidRPr="007B545B" w:rsidRDefault="007B545B" w:rsidP="00CF3F12">
      <w:pPr>
        <w:autoSpaceDE w:val="0"/>
        <w:autoSpaceDN w:val="0"/>
        <w:adjustRightInd w:val="0"/>
        <w:spacing w:after="0" w:line="240" w:lineRule="auto"/>
        <w:rPr>
          <w:rFonts w:cstheme="minorHAnsi"/>
          <w:b/>
          <w:bCs/>
        </w:rPr>
      </w:pPr>
      <w:r w:rsidRPr="007B545B">
        <w:rPr>
          <w:rFonts w:cstheme="minorHAnsi"/>
          <w:b/>
          <w:bCs/>
        </w:rPr>
        <w:t>Early Help:</w:t>
      </w:r>
    </w:p>
    <w:p w14:paraId="509B00C8" w14:textId="77777777" w:rsidR="007B545B" w:rsidRPr="007B545B" w:rsidRDefault="007B545B" w:rsidP="00CF3F12">
      <w:pPr>
        <w:autoSpaceDE w:val="0"/>
        <w:autoSpaceDN w:val="0"/>
        <w:adjustRightInd w:val="0"/>
        <w:spacing w:after="0" w:line="240" w:lineRule="auto"/>
        <w:rPr>
          <w:rFonts w:cstheme="minorHAnsi"/>
        </w:rPr>
      </w:pPr>
      <w:r w:rsidRPr="007B545B">
        <w:rPr>
          <w:rFonts w:cstheme="minorHAnsi"/>
        </w:rPr>
        <w:t>Central Bedfordshire’s Early Help Locality Teams are integral to the delivery of the Children and Young People’s Plan and the Central Bedfordshire multi-agency partnership early help offer. Early Help has been at the forefront of Children’s Services Transformation and is a responsive locality focused service to support children and families who without support are likely to require statutory social care intervention with the aim of reducing demand on Children’s Services. The two service areas work together to develop a positive partnership between professionals and families that empowers families of children and young people and builds resilience and wellbeing in individuals, families, and communities.</w:t>
      </w:r>
    </w:p>
    <w:p w14:paraId="6579DB7C" w14:textId="77777777" w:rsidR="007B545B" w:rsidRPr="007B545B" w:rsidRDefault="007B545B" w:rsidP="00CF3F12">
      <w:pPr>
        <w:autoSpaceDE w:val="0"/>
        <w:autoSpaceDN w:val="0"/>
        <w:adjustRightInd w:val="0"/>
        <w:spacing w:after="0" w:line="240" w:lineRule="auto"/>
        <w:rPr>
          <w:rFonts w:cstheme="minorHAnsi"/>
        </w:rPr>
      </w:pPr>
    </w:p>
    <w:p w14:paraId="0EE6144B" w14:textId="77777777" w:rsidR="007B545B" w:rsidRPr="007B545B" w:rsidRDefault="007B545B" w:rsidP="00CF3F12">
      <w:pPr>
        <w:autoSpaceDE w:val="0"/>
        <w:autoSpaceDN w:val="0"/>
        <w:adjustRightInd w:val="0"/>
        <w:spacing w:after="0" w:line="240" w:lineRule="auto"/>
        <w:rPr>
          <w:rFonts w:cstheme="minorHAnsi"/>
        </w:rPr>
      </w:pPr>
      <w:r w:rsidRPr="007B545B">
        <w:rPr>
          <w:rFonts w:cstheme="minorHAnsi"/>
        </w:rPr>
        <w:t>Central Bedfordshire's Early Help Offer identifies the need for help for children and families as soon as problems emerge, or when there is a strong likelihood they will emerge in the future, offering ‘the right help at the right time’. The Early Help Offer includes universal and targeted services designed to reduce or prevent specific problems from escalating or becoming entrenched.</w:t>
      </w:r>
    </w:p>
    <w:p w14:paraId="2BA53878" w14:textId="77777777" w:rsidR="007B545B" w:rsidRPr="007B545B" w:rsidRDefault="007B545B" w:rsidP="00CF3F12">
      <w:pPr>
        <w:autoSpaceDE w:val="0"/>
        <w:autoSpaceDN w:val="0"/>
        <w:adjustRightInd w:val="0"/>
        <w:spacing w:after="0" w:line="240" w:lineRule="auto"/>
        <w:rPr>
          <w:rFonts w:cstheme="minorHAnsi"/>
        </w:rPr>
      </w:pPr>
    </w:p>
    <w:p w14:paraId="03F0AF44" w14:textId="7C742869" w:rsidR="0069535A" w:rsidRPr="00587E54" w:rsidRDefault="007B545B" w:rsidP="00CF3F12">
      <w:pPr>
        <w:autoSpaceDE w:val="0"/>
        <w:autoSpaceDN w:val="0"/>
        <w:adjustRightInd w:val="0"/>
        <w:spacing w:after="0" w:line="240" w:lineRule="auto"/>
        <w:rPr>
          <w:rFonts w:cstheme="minorHAnsi"/>
        </w:rPr>
      </w:pPr>
      <w:r w:rsidRPr="007B545B">
        <w:rPr>
          <w:rFonts w:cstheme="minorHAnsi"/>
        </w:rPr>
        <w:t>Early Help support can be grouped into 3 main areas:</w:t>
      </w:r>
    </w:p>
    <w:p w14:paraId="5974956F" w14:textId="77777777" w:rsidR="00587E54" w:rsidRPr="00E95885" w:rsidRDefault="00587E54" w:rsidP="00CF3F12">
      <w:pPr>
        <w:spacing w:after="0" w:line="240" w:lineRule="auto"/>
        <w:rPr>
          <w:highlight w:val="yellow"/>
        </w:rPr>
      </w:pPr>
    </w:p>
    <w:p w14:paraId="52B79805" w14:textId="7C1A4CD2" w:rsidR="00587E54" w:rsidRDefault="005B0BB1" w:rsidP="00434E82">
      <w:pPr>
        <w:pStyle w:val="ListParagraph"/>
        <w:numPr>
          <w:ilvl w:val="0"/>
          <w:numId w:val="9"/>
        </w:numPr>
        <w:spacing w:after="0" w:line="240" w:lineRule="auto"/>
      </w:pPr>
      <w:r w:rsidRPr="00E95885">
        <w:t>Universal and targeted support through community-based services</w:t>
      </w:r>
      <w:r w:rsidR="00F87592">
        <w:t>.</w:t>
      </w:r>
    </w:p>
    <w:p w14:paraId="2A5A8C13" w14:textId="318AA62E" w:rsidR="00E95885" w:rsidRPr="00E95885" w:rsidRDefault="00E95885" w:rsidP="00434E82">
      <w:pPr>
        <w:pStyle w:val="ListParagraph"/>
        <w:numPr>
          <w:ilvl w:val="0"/>
          <w:numId w:val="9"/>
        </w:numPr>
      </w:pPr>
      <w:r w:rsidRPr="00E95885">
        <w:t>Multi-agency support which is co-ordinated by a range of professionals</w:t>
      </w:r>
      <w:r w:rsidR="00F87592">
        <w:t>.</w:t>
      </w:r>
    </w:p>
    <w:p w14:paraId="20E1E7A2" w14:textId="18021ED6" w:rsidR="00E95885" w:rsidRDefault="00E95885" w:rsidP="00434E82">
      <w:pPr>
        <w:pStyle w:val="ListParagraph"/>
        <w:numPr>
          <w:ilvl w:val="0"/>
          <w:numId w:val="9"/>
        </w:numPr>
        <w:spacing w:after="0" w:line="240" w:lineRule="auto"/>
      </w:pPr>
      <w:r w:rsidRPr="00E95885">
        <w:t>Targeted Early Help assessment and support for higher levels of identified need e.g. Early Help Plus</w:t>
      </w:r>
      <w:r w:rsidR="00F87592">
        <w:t>.</w:t>
      </w:r>
    </w:p>
    <w:p w14:paraId="2AEBD203" w14:textId="77777777" w:rsidR="0052163B" w:rsidRDefault="0052163B" w:rsidP="00CF3F12">
      <w:pPr>
        <w:spacing w:after="0" w:line="240" w:lineRule="auto"/>
      </w:pPr>
    </w:p>
    <w:p w14:paraId="17136AC9" w14:textId="28E05265" w:rsidR="0052163B" w:rsidRDefault="0052163B" w:rsidP="00CF3F12">
      <w:pPr>
        <w:spacing w:after="0" w:line="240" w:lineRule="auto"/>
      </w:pPr>
      <w:r>
        <w:t>During 202</w:t>
      </w:r>
      <w:r w:rsidR="007047B0">
        <w:t xml:space="preserve">4/25 there were 1,059 Early Help Assessments (EHA’s) completed by Children’s Services </w:t>
      </w:r>
      <w:r w:rsidR="006C404A">
        <w:t xml:space="preserve">(compared to 724 last year) with a further 315 EHA’s being completed by partners in the community (compared to </w:t>
      </w:r>
      <w:r w:rsidR="005D2F38">
        <w:t>339 last year)</w:t>
      </w:r>
    </w:p>
    <w:p w14:paraId="031BCCEB" w14:textId="77777777" w:rsidR="006C7D01" w:rsidRDefault="006C7D01" w:rsidP="00CF3F12">
      <w:pPr>
        <w:spacing w:after="0" w:line="240" w:lineRule="auto"/>
      </w:pPr>
    </w:p>
    <w:p w14:paraId="4192B216" w14:textId="1D71C4EB" w:rsidR="006C7D01" w:rsidRDefault="006C7D01" w:rsidP="00CF3F12">
      <w:pPr>
        <w:spacing w:after="0" w:line="240" w:lineRule="auto"/>
      </w:pPr>
      <w:r w:rsidRPr="008E3E18">
        <w:t xml:space="preserve">At the end </w:t>
      </w:r>
      <w:r w:rsidR="0038243A" w:rsidRPr="008E3E18">
        <w:t xml:space="preserve">of 2024/25 there were 691 children who were a Child in Need compared to </w:t>
      </w:r>
      <w:r w:rsidR="008E3E18" w:rsidRPr="008E3E18">
        <w:t>762</w:t>
      </w:r>
      <w:r w:rsidR="0038243A" w:rsidRPr="008E3E18">
        <w:t xml:space="preserve"> at the end of last year.</w:t>
      </w:r>
    </w:p>
    <w:p w14:paraId="3C99AE4F" w14:textId="77777777" w:rsidR="00C43F1C" w:rsidRDefault="00C43F1C" w:rsidP="00CF3F12">
      <w:pPr>
        <w:spacing w:after="0" w:line="240" w:lineRule="auto"/>
      </w:pPr>
    </w:p>
    <w:p w14:paraId="3CEC7292" w14:textId="77777777" w:rsidR="00C43F1C" w:rsidRPr="00C43F1C" w:rsidRDefault="00C43F1C" w:rsidP="00CF3F12">
      <w:pPr>
        <w:spacing w:after="0" w:line="240" w:lineRule="auto"/>
        <w:rPr>
          <w:b/>
          <w:bCs/>
        </w:rPr>
      </w:pPr>
      <w:r w:rsidRPr="00C43F1C">
        <w:rPr>
          <w:b/>
          <w:bCs/>
        </w:rPr>
        <w:t>Children with a Child Protection Plan:</w:t>
      </w:r>
    </w:p>
    <w:p w14:paraId="7B2AB8DA" w14:textId="55F41704" w:rsidR="00C43F1C" w:rsidRDefault="00C43F1C" w:rsidP="00CF3F12">
      <w:pPr>
        <w:spacing w:after="0" w:line="240" w:lineRule="auto"/>
      </w:pPr>
      <w:r>
        <w:t xml:space="preserve">Children who have a child protection plan are considered to be in need of protection from either neglect, physical, sexual, or emotional abuse or a combination of one or more of these. The child protection plan sets out the main areas of concern, what </w:t>
      </w:r>
      <w:r>
        <w:lastRenderedPageBreak/>
        <w:t>action will be taken to reduce these concerns and by whom. The plan will also set out how we will know when progress is being made.</w:t>
      </w:r>
    </w:p>
    <w:p w14:paraId="429CD49D" w14:textId="77777777" w:rsidR="0021171A" w:rsidRDefault="0021171A" w:rsidP="00CF3F12">
      <w:pPr>
        <w:spacing w:after="0" w:line="240" w:lineRule="auto"/>
      </w:pPr>
    </w:p>
    <w:p w14:paraId="1EA7DE6C" w14:textId="39C77FC8" w:rsidR="0021171A" w:rsidRDefault="0022318B" w:rsidP="00CF3F12">
      <w:pPr>
        <w:spacing w:after="0" w:line="240" w:lineRule="auto"/>
      </w:pPr>
      <w:r>
        <w:t xml:space="preserve">At the end of 2024/25 </w:t>
      </w:r>
      <w:r w:rsidR="004E12D9">
        <w:t xml:space="preserve">there were </w:t>
      </w:r>
      <w:r w:rsidR="009304AF">
        <w:t>177 children with a Child Protection Plan in Central Bedfordshire (compared to 224 at the end of previous year)</w:t>
      </w:r>
    </w:p>
    <w:p w14:paraId="2A3F476C" w14:textId="77777777" w:rsidR="00564C5B" w:rsidRDefault="00564C5B" w:rsidP="00CF3F12">
      <w:pPr>
        <w:spacing w:after="0" w:line="240" w:lineRule="auto"/>
      </w:pPr>
    </w:p>
    <w:p w14:paraId="7E79A09C" w14:textId="77777777" w:rsidR="00563462" w:rsidRPr="00563462" w:rsidRDefault="00563462" w:rsidP="00CF3F12">
      <w:pPr>
        <w:spacing w:after="0" w:line="240" w:lineRule="auto"/>
        <w:rPr>
          <w:rFonts w:cstheme="minorHAnsi"/>
          <w:b/>
          <w:bCs/>
        </w:rPr>
      </w:pPr>
      <w:r w:rsidRPr="00563462">
        <w:rPr>
          <w:rFonts w:cstheme="minorHAnsi"/>
          <w:b/>
          <w:bCs/>
        </w:rPr>
        <w:t>Children in Care:</w:t>
      </w:r>
    </w:p>
    <w:p w14:paraId="1B136FF1" w14:textId="77777777" w:rsidR="00563462" w:rsidRDefault="00563462" w:rsidP="00CF3F12">
      <w:pPr>
        <w:spacing w:after="0" w:line="240" w:lineRule="auto"/>
        <w:rPr>
          <w:rFonts w:cstheme="minorHAnsi"/>
        </w:rPr>
      </w:pPr>
      <w:r w:rsidRPr="00563462">
        <w:rPr>
          <w:rFonts w:cstheme="minorHAnsi"/>
        </w:rPr>
        <w:t xml:space="preserve">Children in care are those looked after by the local authority. Only after exploring every possibility of protecting a child at home will the local authority seek a parent’s consent or a court’s decision to move a child away from his or her family. Such decisions, whilst very difficult, are made in the best interests of the child. </w:t>
      </w:r>
    </w:p>
    <w:p w14:paraId="1B0F10BC" w14:textId="77777777" w:rsidR="0026601D" w:rsidRDefault="0026601D" w:rsidP="00CF3F12">
      <w:pPr>
        <w:spacing w:after="0" w:line="240" w:lineRule="auto"/>
        <w:rPr>
          <w:rFonts w:cstheme="minorHAnsi"/>
        </w:rPr>
      </w:pPr>
    </w:p>
    <w:p w14:paraId="5964BDB8" w14:textId="67AFBCE7" w:rsidR="0026601D" w:rsidRPr="00563462" w:rsidRDefault="0026601D" w:rsidP="00CF3F12">
      <w:pPr>
        <w:spacing w:after="0" w:line="240" w:lineRule="auto"/>
        <w:rPr>
          <w:rFonts w:cstheme="minorHAnsi"/>
        </w:rPr>
      </w:pPr>
      <w:r>
        <w:rPr>
          <w:rFonts w:cstheme="minorHAnsi"/>
        </w:rPr>
        <w:t>At the end of 2024/25 there were</w:t>
      </w:r>
      <w:r w:rsidR="005C37A1">
        <w:rPr>
          <w:rFonts w:cstheme="minorHAnsi"/>
        </w:rPr>
        <w:t xml:space="preserve"> 338 </w:t>
      </w:r>
      <w:r w:rsidR="001A4220">
        <w:rPr>
          <w:rFonts w:cstheme="minorHAnsi"/>
        </w:rPr>
        <w:t>Looked After Children in Central Bedfordshire (compared to 384 at the end of the previous year).</w:t>
      </w:r>
    </w:p>
    <w:p w14:paraId="48F48C18" w14:textId="77777777" w:rsidR="002028C9" w:rsidRDefault="002028C9" w:rsidP="00CF3F12">
      <w:pPr>
        <w:spacing w:after="0" w:line="240" w:lineRule="auto"/>
        <w:rPr>
          <w:b/>
          <w:bCs/>
        </w:rPr>
      </w:pPr>
    </w:p>
    <w:p w14:paraId="02433FA4" w14:textId="21B32D37" w:rsidR="00905593" w:rsidRPr="003438B8" w:rsidRDefault="002028C9" w:rsidP="00CF3F12">
      <w:pPr>
        <w:spacing w:after="0" w:line="240" w:lineRule="auto"/>
        <w:rPr>
          <w:b/>
          <w:bCs/>
        </w:rPr>
      </w:pPr>
      <w:r>
        <w:rPr>
          <w:b/>
          <w:bCs/>
        </w:rPr>
        <w:t xml:space="preserve">The </w:t>
      </w:r>
      <w:r w:rsidR="00905593">
        <w:rPr>
          <w:b/>
          <w:bCs/>
        </w:rPr>
        <w:t>Central Bedfordshire Multi-Agency Safeguarding Arrangements:</w:t>
      </w:r>
    </w:p>
    <w:p w14:paraId="41A1446A" w14:textId="19ACC53B" w:rsidR="00905593" w:rsidRDefault="00905593" w:rsidP="00CF3F12">
      <w:pPr>
        <w:spacing w:after="0" w:line="240" w:lineRule="auto"/>
      </w:pPr>
      <w:r>
        <w:t>The Central Bedfordshire Multi-Agency Safeguarding Arrangements cover the Local Authority area of Central Bedfordshire. The three Safeguarding Partners are Central Bedfordshire Council, Bedfordshire Clinical Commissioning Group and Bedfordshire Police.</w:t>
      </w:r>
    </w:p>
    <w:p w14:paraId="62CA5D3D" w14:textId="77777777" w:rsidR="00905593" w:rsidRDefault="00905593" w:rsidP="00CF3F12">
      <w:pPr>
        <w:spacing w:after="0" w:line="240" w:lineRule="auto"/>
      </w:pPr>
    </w:p>
    <w:p w14:paraId="6FCED199" w14:textId="4564086E" w:rsidR="00905593" w:rsidRDefault="00905593" w:rsidP="00CF3F12">
      <w:pPr>
        <w:spacing w:after="0" w:line="240" w:lineRule="auto"/>
      </w:pPr>
      <w:r>
        <w:t>Central Bedfordshire Safeguarding Children Partnership works closely with neighbouring Partnerships in Bedford Borough and Luton. As such, our structure also includes a number of Pan Bedfordshire groups. The Independent Scrutiny for our partnership during 2024/25 was provided by an Independent Scrutineer, Alan Caton.</w:t>
      </w:r>
    </w:p>
    <w:p w14:paraId="4C19DD3B" w14:textId="77777777" w:rsidR="007C6A73" w:rsidRDefault="007C6A73" w:rsidP="00905593">
      <w:pPr>
        <w:spacing w:after="0" w:line="240" w:lineRule="auto"/>
      </w:pPr>
    </w:p>
    <w:p w14:paraId="6423B335" w14:textId="77777777" w:rsidR="007C6A73" w:rsidRDefault="007C6A73" w:rsidP="00905593">
      <w:pPr>
        <w:spacing w:after="0" w:line="240" w:lineRule="auto"/>
      </w:pPr>
    </w:p>
    <w:p w14:paraId="1016F295" w14:textId="77777777" w:rsidR="007C6A73" w:rsidRDefault="007C6A73" w:rsidP="00905593">
      <w:pPr>
        <w:spacing w:after="0" w:line="240" w:lineRule="auto"/>
      </w:pPr>
    </w:p>
    <w:p w14:paraId="4D5E78E8" w14:textId="77777777" w:rsidR="007C6A73" w:rsidRDefault="007C6A73" w:rsidP="00905593">
      <w:pPr>
        <w:spacing w:after="0" w:line="240" w:lineRule="auto"/>
      </w:pPr>
    </w:p>
    <w:p w14:paraId="1495BDEB" w14:textId="77777777" w:rsidR="007C6A73" w:rsidRDefault="007C6A73" w:rsidP="00905593">
      <w:pPr>
        <w:spacing w:after="0" w:line="240" w:lineRule="auto"/>
      </w:pPr>
    </w:p>
    <w:p w14:paraId="50A8464C" w14:textId="77777777" w:rsidR="007C6A73" w:rsidRDefault="007C6A73" w:rsidP="00905593">
      <w:pPr>
        <w:spacing w:after="0" w:line="240" w:lineRule="auto"/>
      </w:pPr>
    </w:p>
    <w:p w14:paraId="5776590D" w14:textId="77777777" w:rsidR="007C6A73" w:rsidRDefault="007C6A73" w:rsidP="00905593">
      <w:pPr>
        <w:spacing w:after="0" w:line="240" w:lineRule="auto"/>
      </w:pPr>
    </w:p>
    <w:p w14:paraId="13B36B44" w14:textId="77777777" w:rsidR="007C6A73" w:rsidRDefault="007C6A73" w:rsidP="00905593">
      <w:pPr>
        <w:spacing w:after="0" w:line="240" w:lineRule="auto"/>
      </w:pPr>
    </w:p>
    <w:p w14:paraId="1A57162E" w14:textId="77777777" w:rsidR="007C6A73" w:rsidRDefault="007C6A73" w:rsidP="00905593">
      <w:pPr>
        <w:spacing w:after="0" w:line="240" w:lineRule="auto"/>
      </w:pPr>
    </w:p>
    <w:p w14:paraId="3F0FADB6" w14:textId="77777777" w:rsidR="007C6A73" w:rsidRDefault="007C6A73" w:rsidP="00905593">
      <w:pPr>
        <w:spacing w:after="0" w:line="240" w:lineRule="auto"/>
      </w:pPr>
    </w:p>
    <w:p w14:paraId="15AEA8F5" w14:textId="77777777" w:rsidR="007C6A73" w:rsidRDefault="007C6A73" w:rsidP="00905593">
      <w:pPr>
        <w:spacing w:after="0" w:line="240" w:lineRule="auto"/>
      </w:pPr>
    </w:p>
    <w:p w14:paraId="212F7369" w14:textId="77777777" w:rsidR="007C6A73" w:rsidRDefault="007C6A73" w:rsidP="00905593">
      <w:pPr>
        <w:spacing w:after="0" w:line="240" w:lineRule="auto"/>
      </w:pPr>
    </w:p>
    <w:p w14:paraId="1306A1D0" w14:textId="77777777" w:rsidR="007C6A73" w:rsidRDefault="007C6A73" w:rsidP="00905593">
      <w:pPr>
        <w:spacing w:after="0" w:line="240" w:lineRule="auto"/>
      </w:pPr>
    </w:p>
    <w:p w14:paraId="717FF96C" w14:textId="77777777" w:rsidR="007C6A73" w:rsidRDefault="007C6A73" w:rsidP="00905593">
      <w:pPr>
        <w:spacing w:after="0" w:line="240" w:lineRule="auto"/>
      </w:pPr>
    </w:p>
    <w:p w14:paraId="27A8497E" w14:textId="77777777" w:rsidR="007C6A73" w:rsidRDefault="007C6A73" w:rsidP="00905593">
      <w:pPr>
        <w:spacing w:after="0" w:line="240" w:lineRule="auto"/>
      </w:pPr>
    </w:p>
    <w:p w14:paraId="03A47683" w14:textId="77777777" w:rsidR="007C6A73" w:rsidRDefault="007C6A73" w:rsidP="00905593">
      <w:pPr>
        <w:spacing w:after="0" w:line="240" w:lineRule="auto"/>
      </w:pPr>
    </w:p>
    <w:p w14:paraId="149C59FD" w14:textId="77777777" w:rsidR="007C6A73" w:rsidRDefault="007C6A73" w:rsidP="00905593">
      <w:pPr>
        <w:spacing w:after="0" w:line="240" w:lineRule="auto"/>
      </w:pPr>
    </w:p>
    <w:p w14:paraId="030FD3F8" w14:textId="77777777" w:rsidR="007C6A73" w:rsidRDefault="007C6A73" w:rsidP="00905593">
      <w:pPr>
        <w:spacing w:after="0" w:line="240" w:lineRule="auto"/>
      </w:pPr>
    </w:p>
    <w:p w14:paraId="65CEABE2" w14:textId="77777777" w:rsidR="007C6A73" w:rsidRDefault="007C6A73" w:rsidP="00905593">
      <w:pPr>
        <w:spacing w:after="0" w:line="240" w:lineRule="auto"/>
      </w:pPr>
    </w:p>
    <w:p w14:paraId="07ECD2A4" w14:textId="77777777" w:rsidR="007C6A73" w:rsidRDefault="007C6A73" w:rsidP="00905593">
      <w:pPr>
        <w:spacing w:after="0" w:line="240" w:lineRule="auto"/>
      </w:pPr>
    </w:p>
    <w:p w14:paraId="3FFEA229" w14:textId="77777777" w:rsidR="007C6A73" w:rsidRDefault="007C6A73" w:rsidP="00905593">
      <w:pPr>
        <w:spacing w:after="0" w:line="240" w:lineRule="auto"/>
      </w:pPr>
    </w:p>
    <w:p w14:paraId="204633B7" w14:textId="77777777" w:rsidR="007C6A73" w:rsidRDefault="007C6A73" w:rsidP="00905593">
      <w:pPr>
        <w:spacing w:after="0" w:line="240" w:lineRule="auto"/>
      </w:pPr>
    </w:p>
    <w:p w14:paraId="211BDB01" w14:textId="343CEC68" w:rsidR="00905593" w:rsidRPr="001C7452" w:rsidRDefault="00905593" w:rsidP="00905593">
      <w:pPr>
        <w:spacing w:after="0" w:line="240" w:lineRule="auto"/>
        <w:rPr>
          <w:b/>
          <w:bCs/>
        </w:rPr>
      </w:pPr>
      <w:r w:rsidRPr="001C7452">
        <w:rPr>
          <w:b/>
          <w:bCs/>
        </w:rPr>
        <w:lastRenderedPageBreak/>
        <w:t>MASA Structure</w:t>
      </w:r>
      <w:r w:rsidR="001C7452">
        <w:rPr>
          <w:b/>
          <w:bCs/>
        </w:rPr>
        <w:t>:</w:t>
      </w:r>
    </w:p>
    <w:p w14:paraId="126BA7C1" w14:textId="110D3689" w:rsidR="001C7452" w:rsidRDefault="001C7452" w:rsidP="00905593">
      <w:pPr>
        <w:spacing w:after="0" w:line="240" w:lineRule="auto"/>
      </w:pPr>
    </w:p>
    <w:p w14:paraId="334B1665" w14:textId="418FF8B8" w:rsidR="001C7452" w:rsidRDefault="009F31EB" w:rsidP="00905593">
      <w:pPr>
        <w:spacing w:after="0" w:line="240" w:lineRule="auto"/>
      </w:pPr>
      <w:r>
        <w:rPr>
          <w:noProof/>
        </w:rPr>
        <w:drawing>
          <wp:anchor distT="0" distB="0" distL="114300" distR="114300" simplePos="0" relativeHeight="251658240" behindDoc="1" locked="0" layoutInCell="1" allowOverlap="1" wp14:anchorId="6E1A3A33" wp14:editId="5158953D">
            <wp:simplePos x="0" y="0"/>
            <wp:positionH relativeFrom="column">
              <wp:posOffset>857250</wp:posOffset>
            </wp:positionH>
            <wp:positionV relativeFrom="paragraph">
              <wp:posOffset>7571</wp:posOffset>
            </wp:positionV>
            <wp:extent cx="4102337" cy="5886450"/>
            <wp:effectExtent l="0" t="0" r="0" b="0"/>
            <wp:wrapNone/>
            <wp:docPr id="1233490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90405" name=""/>
                    <pic:cNvPicPr/>
                  </pic:nvPicPr>
                  <pic:blipFill rotWithShape="1">
                    <a:blip r:embed="rId14">
                      <a:extLst>
                        <a:ext uri="{28A0092B-C50C-407E-A947-70E740481C1C}">
                          <a14:useLocalDpi xmlns:a14="http://schemas.microsoft.com/office/drawing/2010/main" val="0"/>
                        </a:ext>
                      </a:extLst>
                    </a:blip>
                    <a:srcRect l="35010" t="22789" r="36738"/>
                    <a:stretch/>
                  </pic:blipFill>
                  <pic:spPr bwMode="auto">
                    <a:xfrm>
                      <a:off x="0" y="0"/>
                      <a:ext cx="4102337" cy="5886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FEE0A5" w14:textId="3542D8B3" w:rsidR="00905593" w:rsidRDefault="00905593" w:rsidP="00905593">
      <w:pPr>
        <w:spacing w:after="0" w:line="240" w:lineRule="auto"/>
      </w:pPr>
    </w:p>
    <w:p w14:paraId="531021D1" w14:textId="615C4C7F" w:rsidR="001C7452" w:rsidRDefault="001C7452" w:rsidP="003438B8">
      <w:pPr>
        <w:spacing w:after="0" w:line="240" w:lineRule="auto"/>
        <w:rPr>
          <w:b/>
          <w:bCs/>
        </w:rPr>
      </w:pPr>
    </w:p>
    <w:p w14:paraId="48902E03" w14:textId="77777777" w:rsidR="001C7452" w:rsidRDefault="001C7452" w:rsidP="003438B8">
      <w:pPr>
        <w:spacing w:after="0" w:line="240" w:lineRule="auto"/>
        <w:rPr>
          <w:b/>
          <w:bCs/>
        </w:rPr>
      </w:pPr>
    </w:p>
    <w:p w14:paraId="25437876" w14:textId="25DE637F" w:rsidR="001C7452" w:rsidRDefault="001C7452" w:rsidP="003438B8">
      <w:pPr>
        <w:spacing w:after="0" w:line="240" w:lineRule="auto"/>
        <w:rPr>
          <w:b/>
          <w:bCs/>
        </w:rPr>
      </w:pPr>
    </w:p>
    <w:p w14:paraId="168D969A" w14:textId="338E9B1B" w:rsidR="001C7452" w:rsidRDefault="001C7452" w:rsidP="003438B8">
      <w:pPr>
        <w:spacing w:after="0" w:line="240" w:lineRule="auto"/>
        <w:rPr>
          <w:b/>
          <w:bCs/>
        </w:rPr>
      </w:pPr>
    </w:p>
    <w:p w14:paraId="6F32BF06" w14:textId="77777777" w:rsidR="001C7452" w:rsidRDefault="001C7452" w:rsidP="003438B8">
      <w:pPr>
        <w:spacing w:after="0" w:line="240" w:lineRule="auto"/>
        <w:rPr>
          <w:b/>
          <w:bCs/>
        </w:rPr>
      </w:pPr>
    </w:p>
    <w:p w14:paraId="4227B463" w14:textId="5F89171F" w:rsidR="001C7452" w:rsidRDefault="001C7452" w:rsidP="003438B8">
      <w:pPr>
        <w:spacing w:after="0" w:line="240" w:lineRule="auto"/>
        <w:rPr>
          <w:b/>
          <w:bCs/>
        </w:rPr>
      </w:pPr>
    </w:p>
    <w:p w14:paraId="1FA31C39" w14:textId="3FBC9AEB" w:rsidR="001C7452" w:rsidRDefault="001C7452" w:rsidP="003438B8">
      <w:pPr>
        <w:spacing w:after="0" w:line="240" w:lineRule="auto"/>
        <w:rPr>
          <w:b/>
          <w:bCs/>
        </w:rPr>
      </w:pPr>
    </w:p>
    <w:p w14:paraId="4196A968" w14:textId="77777777" w:rsidR="001C7452" w:rsidRDefault="001C7452" w:rsidP="003438B8">
      <w:pPr>
        <w:spacing w:after="0" w:line="240" w:lineRule="auto"/>
        <w:rPr>
          <w:b/>
          <w:bCs/>
        </w:rPr>
      </w:pPr>
    </w:p>
    <w:p w14:paraId="7F86B7F9" w14:textId="77777777" w:rsidR="001C7452" w:rsidRDefault="001C7452" w:rsidP="003438B8">
      <w:pPr>
        <w:spacing w:after="0" w:line="240" w:lineRule="auto"/>
        <w:rPr>
          <w:b/>
          <w:bCs/>
        </w:rPr>
      </w:pPr>
    </w:p>
    <w:p w14:paraId="1039E615" w14:textId="77777777" w:rsidR="001C7452" w:rsidRDefault="001C7452" w:rsidP="003438B8">
      <w:pPr>
        <w:spacing w:after="0" w:line="240" w:lineRule="auto"/>
        <w:rPr>
          <w:b/>
          <w:bCs/>
        </w:rPr>
      </w:pPr>
    </w:p>
    <w:p w14:paraId="61B0B871" w14:textId="77777777" w:rsidR="001C7452" w:rsidRDefault="001C7452" w:rsidP="003438B8">
      <w:pPr>
        <w:spacing w:after="0" w:line="240" w:lineRule="auto"/>
        <w:rPr>
          <w:b/>
          <w:bCs/>
        </w:rPr>
      </w:pPr>
    </w:p>
    <w:p w14:paraId="58203045" w14:textId="77777777" w:rsidR="001C7452" w:rsidRDefault="001C7452" w:rsidP="003438B8">
      <w:pPr>
        <w:spacing w:after="0" w:line="240" w:lineRule="auto"/>
        <w:rPr>
          <w:b/>
          <w:bCs/>
        </w:rPr>
      </w:pPr>
    </w:p>
    <w:p w14:paraId="29E1A567" w14:textId="77777777" w:rsidR="001C7452" w:rsidRDefault="001C7452" w:rsidP="003438B8">
      <w:pPr>
        <w:spacing w:after="0" w:line="240" w:lineRule="auto"/>
        <w:rPr>
          <w:b/>
          <w:bCs/>
        </w:rPr>
      </w:pPr>
    </w:p>
    <w:p w14:paraId="36CDBA16" w14:textId="77777777" w:rsidR="001C7452" w:rsidRDefault="001C7452" w:rsidP="003438B8">
      <w:pPr>
        <w:spacing w:after="0" w:line="240" w:lineRule="auto"/>
        <w:rPr>
          <w:b/>
          <w:bCs/>
        </w:rPr>
      </w:pPr>
    </w:p>
    <w:p w14:paraId="04B4BFD0" w14:textId="77777777" w:rsidR="001C7452" w:rsidRDefault="001C7452" w:rsidP="003438B8">
      <w:pPr>
        <w:spacing w:after="0" w:line="240" w:lineRule="auto"/>
        <w:rPr>
          <w:b/>
          <w:bCs/>
        </w:rPr>
      </w:pPr>
    </w:p>
    <w:p w14:paraId="23836E99" w14:textId="77777777" w:rsidR="001C7452" w:rsidRDefault="001C7452" w:rsidP="003438B8">
      <w:pPr>
        <w:spacing w:after="0" w:line="240" w:lineRule="auto"/>
        <w:rPr>
          <w:b/>
          <w:bCs/>
        </w:rPr>
      </w:pPr>
    </w:p>
    <w:p w14:paraId="3E1CE2CF" w14:textId="77777777" w:rsidR="001C7452" w:rsidRDefault="001C7452" w:rsidP="003438B8">
      <w:pPr>
        <w:spacing w:after="0" w:line="240" w:lineRule="auto"/>
        <w:rPr>
          <w:b/>
          <w:bCs/>
        </w:rPr>
      </w:pPr>
    </w:p>
    <w:p w14:paraId="3415757E" w14:textId="77777777" w:rsidR="001C7452" w:rsidRDefault="001C7452" w:rsidP="003438B8">
      <w:pPr>
        <w:spacing w:after="0" w:line="240" w:lineRule="auto"/>
        <w:rPr>
          <w:b/>
          <w:bCs/>
        </w:rPr>
      </w:pPr>
    </w:p>
    <w:p w14:paraId="32C9A328" w14:textId="77777777" w:rsidR="001C7452" w:rsidRDefault="001C7452" w:rsidP="003438B8">
      <w:pPr>
        <w:spacing w:after="0" w:line="240" w:lineRule="auto"/>
        <w:rPr>
          <w:b/>
          <w:bCs/>
        </w:rPr>
      </w:pPr>
    </w:p>
    <w:p w14:paraId="15F0D51A" w14:textId="77777777" w:rsidR="001C7452" w:rsidRDefault="001C7452" w:rsidP="003438B8">
      <w:pPr>
        <w:spacing w:after="0" w:line="240" w:lineRule="auto"/>
        <w:rPr>
          <w:b/>
          <w:bCs/>
        </w:rPr>
      </w:pPr>
    </w:p>
    <w:p w14:paraId="5C2D813A" w14:textId="77777777" w:rsidR="001C7452" w:rsidRDefault="001C7452" w:rsidP="003438B8">
      <w:pPr>
        <w:spacing w:after="0" w:line="240" w:lineRule="auto"/>
        <w:rPr>
          <w:b/>
          <w:bCs/>
        </w:rPr>
      </w:pPr>
    </w:p>
    <w:p w14:paraId="5FE2B45C" w14:textId="77777777" w:rsidR="001C7452" w:rsidRDefault="001C7452" w:rsidP="003438B8">
      <w:pPr>
        <w:spacing w:after="0" w:line="240" w:lineRule="auto"/>
        <w:rPr>
          <w:b/>
          <w:bCs/>
        </w:rPr>
      </w:pPr>
    </w:p>
    <w:p w14:paraId="5FAABB0A" w14:textId="77777777" w:rsidR="001C7452" w:rsidRDefault="001C7452" w:rsidP="003438B8">
      <w:pPr>
        <w:spacing w:after="0" w:line="240" w:lineRule="auto"/>
        <w:rPr>
          <w:b/>
          <w:bCs/>
        </w:rPr>
      </w:pPr>
    </w:p>
    <w:p w14:paraId="41533CD9" w14:textId="77777777" w:rsidR="001C7452" w:rsidRDefault="001C7452" w:rsidP="003438B8">
      <w:pPr>
        <w:spacing w:after="0" w:line="240" w:lineRule="auto"/>
        <w:rPr>
          <w:b/>
          <w:bCs/>
        </w:rPr>
      </w:pPr>
    </w:p>
    <w:p w14:paraId="3AA8BE39" w14:textId="77777777" w:rsidR="001C7452" w:rsidRDefault="001C7452" w:rsidP="003438B8">
      <w:pPr>
        <w:spacing w:after="0" w:line="240" w:lineRule="auto"/>
        <w:rPr>
          <w:b/>
          <w:bCs/>
        </w:rPr>
      </w:pPr>
    </w:p>
    <w:p w14:paraId="0FFA1C39" w14:textId="77777777" w:rsidR="00D41C02" w:rsidRDefault="00D41C02" w:rsidP="003438B8">
      <w:pPr>
        <w:spacing w:after="0" w:line="240" w:lineRule="auto"/>
        <w:rPr>
          <w:b/>
          <w:bCs/>
        </w:rPr>
      </w:pPr>
    </w:p>
    <w:p w14:paraId="39EF980F" w14:textId="77777777" w:rsidR="007E4289" w:rsidRDefault="007E4289" w:rsidP="003438B8">
      <w:pPr>
        <w:spacing w:after="0" w:line="240" w:lineRule="auto"/>
        <w:rPr>
          <w:b/>
          <w:bCs/>
        </w:rPr>
      </w:pPr>
    </w:p>
    <w:p w14:paraId="7575377E" w14:textId="77777777" w:rsidR="007E4289" w:rsidRDefault="007E4289" w:rsidP="003438B8">
      <w:pPr>
        <w:spacing w:after="0" w:line="240" w:lineRule="auto"/>
        <w:rPr>
          <w:b/>
          <w:bCs/>
        </w:rPr>
      </w:pPr>
    </w:p>
    <w:p w14:paraId="7A82EF27" w14:textId="77777777" w:rsidR="007E4289" w:rsidRDefault="007E4289" w:rsidP="003438B8">
      <w:pPr>
        <w:spacing w:after="0" w:line="240" w:lineRule="auto"/>
        <w:rPr>
          <w:b/>
          <w:bCs/>
        </w:rPr>
      </w:pPr>
    </w:p>
    <w:p w14:paraId="65A976D8" w14:textId="77777777" w:rsidR="007E4289" w:rsidRDefault="007E4289" w:rsidP="003438B8">
      <w:pPr>
        <w:spacing w:after="0" w:line="240" w:lineRule="auto"/>
        <w:rPr>
          <w:b/>
          <w:bCs/>
        </w:rPr>
      </w:pPr>
    </w:p>
    <w:p w14:paraId="69387868" w14:textId="77777777" w:rsidR="007E4289" w:rsidRDefault="007E4289" w:rsidP="003438B8">
      <w:pPr>
        <w:spacing w:after="0" w:line="240" w:lineRule="auto"/>
        <w:rPr>
          <w:b/>
          <w:bCs/>
        </w:rPr>
      </w:pPr>
    </w:p>
    <w:p w14:paraId="0498FCA7" w14:textId="77777777" w:rsidR="007E4289" w:rsidRDefault="007E4289" w:rsidP="003438B8">
      <w:pPr>
        <w:spacing w:after="0" w:line="240" w:lineRule="auto"/>
        <w:rPr>
          <w:b/>
          <w:bCs/>
        </w:rPr>
      </w:pPr>
    </w:p>
    <w:p w14:paraId="10A7FFD1" w14:textId="2E5AE5DC" w:rsidR="00905593" w:rsidRPr="00905593" w:rsidRDefault="00905593" w:rsidP="003438B8">
      <w:pPr>
        <w:spacing w:after="0" w:line="240" w:lineRule="auto"/>
        <w:rPr>
          <w:b/>
          <w:bCs/>
        </w:rPr>
      </w:pPr>
      <w:r w:rsidRPr="00905593">
        <w:rPr>
          <w:b/>
          <w:bCs/>
        </w:rPr>
        <w:t>The Partnership Priorities for 2024/25</w:t>
      </w:r>
      <w:r>
        <w:rPr>
          <w:b/>
          <w:bCs/>
        </w:rPr>
        <w:t>:</w:t>
      </w:r>
    </w:p>
    <w:p w14:paraId="6ACE5CF5" w14:textId="7A800E32" w:rsidR="00905593" w:rsidRDefault="00905593" w:rsidP="003438B8">
      <w:pPr>
        <w:spacing w:after="0" w:line="240" w:lineRule="auto"/>
        <w:rPr>
          <w:rFonts w:eastAsia="Aptos" w:cstheme="minorHAnsi"/>
        </w:rPr>
      </w:pPr>
      <w:r w:rsidRPr="00CE5098">
        <w:rPr>
          <w:rFonts w:eastAsia="Aptos" w:cstheme="minorHAnsi"/>
        </w:rPr>
        <w:t>The Partnership held its development session for 2024-25 on the 13</w:t>
      </w:r>
      <w:r w:rsidRPr="00CE5098">
        <w:rPr>
          <w:rFonts w:eastAsia="Aptos" w:cstheme="minorHAnsi"/>
          <w:vertAlign w:val="superscript"/>
        </w:rPr>
        <w:t>th</w:t>
      </w:r>
      <w:r w:rsidRPr="00CE5098">
        <w:rPr>
          <w:rFonts w:eastAsia="Aptos" w:cstheme="minorHAnsi"/>
        </w:rPr>
        <w:t xml:space="preserve"> May 2024. The discussions highlighted some positive work that ha</w:t>
      </w:r>
      <w:r>
        <w:rPr>
          <w:rFonts w:eastAsia="Aptos" w:cstheme="minorHAnsi"/>
        </w:rPr>
        <w:t>d</w:t>
      </w:r>
      <w:r w:rsidRPr="00CE5098">
        <w:rPr>
          <w:rFonts w:eastAsia="Aptos" w:cstheme="minorHAnsi"/>
        </w:rPr>
        <w:t xml:space="preserve"> taken place over the </w:t>
      </w:r>
      <w:r>
        <w:rPr>
          <w:rFonts w:eastAsia="Aptos" w:cstheme="minorHAnsi"/>
        </w:rPr>
        <w:t xml:space="preserve">previous </w:t>
      </w:r>
      <w:r w:rsidRPr="00CE5098">
        <w:rPr>
          <w:rFonts w:eastAsia="Aptos" w:cstheme="minorHAnsi"/>
        </w:rPr>
        <w:t xml:space="preserve">year, including </w:t>
      </w:r>
      <w:r>
        <w:rPr>
          <w:rFonts w:eastAsia="Aptos" w:cstheme="minorHAnsi"/>
        </w:rPr>
        <w:t>the Partnership’s</w:t>
      </w:r>
      <w:r w:rsidRPr="00CE5098">
        <w:rPr>
          <w:rFonts w:eastAsia="Aptos" w:cstheme="minorHAnsi"/>
        </w:rPr>
        <w:t xml:space="preserve"> Voice of the Child work, including </w:t>
      </w:r>
      <w:r>
        <w:rPr>
          <w:rFonts w:eastAsia="Aptos" w:cstheme="minorHAnsi"/>
        </w:rPr>
        <w:t>its</w:t>
      </w:r>
      <w:r w:rsidRPr="00CE5098">
        <w:rPr>
          <w:rFonts w:eastAsia="Aptos" w:cstheme="minorHAnsi"/>
        </w:rPr>
        <w:t xml:space="preserve"> young people’s conference, </w:t>
      </w:r>
      <w:r w:rsidR="003438B8">
        <w:rPr>
          <w:rFonts w:eastAsia="Aptos" w:cstheme="minorHAnsi"/>
        </w:rPr>
        <w:t>its</w:t>
      </w:r>
      <w:r w:rsidRPr="00CE5098">
        <w:rPr>
          <w:rFonts w:eastAsia="Aptos" w:cstheme="minorHAnsi"/>
        </w:rPr>
        <w:t xml:space="preserve"> joined up working to better understand thresholds and </w:t>
      </w:r>
      <w:r>
        <w:rPr>
          <w:rFonts w:eastAsia="Aptos" w:cstheme="minorHAnsi"/>
        </w:rPr>
        <w:t>its</w:t>
      </w:r>
      <w:r w:rsidRPr="00CE5098">
        <w:rPr>
          <w:rFonts w:eastAsia="Aptos" w:cstheme="minorHAnsi"/>
        </w:rPr>
        <w:t xml:space="preserve"> work to strengthen the MASH arrangements which </w:t>
      </w:r>
      <w:r>
        <w:rPr>
          <w:rFonts w:eastAsia="Aptos" w:cstheme="minorHAnsi"/>
        </w:rPr>
        <w:t>has been an</w:t>
      </w:r>
      <w:r w:rsidRPr="00CE5098">
        <w:rPr>
          <w:rFonts w:eastAsia="Aptos" w:cstheme="minorHAnsi"/>
        </w:rPr>
        <w:t xml:space="preserve"> on-going</w:t>
      </w:r>
      <w:r>
        <w:rPr>
          <w:rFonts w:eastAsia="Aptos" w:cstheme="minorHAnsi"/>
        </w:rPr>
        <w:t xml:space="preserve"> piece of work</w:t>
      </w:r>
      <w:r w:rsidRPr="00CE5098">
        <w:rPr>
          <w:rFonts w:eastAsia="Aptos" w:cstheme="minorHAnsi"/>
        </w:rPr>
        <w:t>.</w:t>
      </w:r>
    </w:p>
    <w:p w14:paraId="365FDF77" w14:textId="77777777" w:rsidR="003438B8" w:rsidRPr="00CE5098" w:rsidRDefault="003438B8" w:rsidP="003438B8">
      <w:pPr>
        <w:spacing w:after="0" w:line="240" w:lineRule="auto"/>
        <w:rPr>
          <w:rFonts w:eastAsia="Aptos" w:cstheme="minorHAnsi"/>
        </w:rPr>
      </w:pPr>
    </w:p>
    <w:p w14:paraId="36F5BD5D" w14:textId="768087AA" w:rsidR="00905593" w:rsidRPr="00CE5098" w:rsidRDefault="00905593" w:rsidP="003438B8">
      <w:pPr>
        <w:spacing w:after="0" w:line="240" w:lineRule="auto"/>
        <w:rPr>
          <w:rFonts w:eastAsia="Aptos" w:cstheme="minorHAnsi"/>
        </w:rPr>
      </w:pPr>
      <w:r w:rsidRPr="00CE5098">
        <w:rPr>
          <w:rFonts w:eastAsia="Aptos" w:cstheme="minorHAnsi"/>
        </w:rPr>
        <w:t xml:space="preserve">It was noted that </w:t>
      </w:r>
      <w:r w:rsidR="003438B8" w:rsidRPr="00CE5098">
        <w:rPr>
          <w:rFonts w:eastAsia="Aptos" w:cstheme="minorHAnsi"/>
        </w:rPr>
        <w:t xml:space="preserve">partners </w:t>
      </w:r>
      <w:r w:rsidR="003438B8">
        <w:rPr>
          <w:rFonts w:eastAsia="Aptos" w:cstheme="minorHAnsi"/>
        </w:rPr>
        <w:t>had</w:t>
      </w:r>
      <w:r>
        <w:rPr>
          <w:rFonts w:eastAsia="Aptos" w:cstheme="minorHAnsi"/>
        </w:rPr>
        <w:t xml:space="preserve"> </w:t>
      </w:r>
      <w:r w:rsidRPr="00CE5098">
        <w:rPr>
          <w:rFonts w:eastAsia="Aptos" w:cstheme="minorHAnsi"/>
        </w:rPr>
        <w:t>continue</w:t>
      </w:r>
      <w:r>
        <w:rPr>
          <w:rFonts w:eastAsia="Aptos" w:cstheme="minorHAnsi"/>
        </w:rPr>
        <w:t>d</w:t>
      </w:r>
      <w:r w:rsidRPr="00CE5098">
        <w:rPr>
          <w:rFonts w:eastAsia="Aptos" w:cstheme="minorHAnsi"/>
        </w:rPr>
        <w:t xml:space="preserve"> to work together to tackle the issue of neglect and better embed the use of tools such as the graded care profile, however some case reviews ha</w:t>
      </w:r>
      <w:r>
        <w:rPr>
          <w:rFonts w:eastAsia="Aptos" w:cstheme="minorHAnsi"/>
        </w:rPr>
        <w:t>d</w:t>
      </w:r>
      <w:r w:rsidRPr="00CE5098">
        <w:rPr>
          <w:rFonts w:eastAsia="Aptos" w:cstheme="minorHAnsi"/>
        </w:rPr>
        <w:t xml:space="preserve"> highlighted there </w:t>
      </w:r>
      <w:r>
        <w:rPr>
          <w:rFonts w:eastAsia="Aptos" w:cstheme="minorHAnsi"/>
        </w:rPr>
        <w:t>was</w:t>
      </w:r>
      <w:r w:rsidRPr="00CE5098">
        <w:rPr>
          <w:rFonts w:eastAsia="Aptos" w:cstheme="minorHAnsi"/>
        </w:rPr>
        <w:t xml:space="preserve"> still further work to </w:t>
      </w:r>
      <w:r>
        <w:rPr>
          <w:rFonts w:eastAsia="Aptos" w:cstheme="minorHAnsi"/>
        </w:rPr>
        <w:t>be done</w:t>
      </w:r>
      <w:r w:rsidRPr="00CE5098">
        <w:rPr>
          <w:rFonts w:eastAsia="Aptos" w:cstheme="minorHAnsi"/>
        </w:rPr>
        <w:t>.</w:t>
      </w:r>
    </w:p>
    <w:p w14:paraId="24D1868A" w14:textId="77777777" w:rsidR="003438B8" w:rsidRDefault="003438B8" w:rsidP="003438B8">
      <w:pPr>
        <w:spacing w:after="0" w:line="240" w:lineRule="auto"/>
        <w:rPr>
          <w:rFonts w:eastAsia="Aptos" w:cstheme="minorHAnsi"/>
        </w:rPr>
      </w:pPr>
    </w:p>
    <w:p w14:paraId="03F99842" w14:textId="1DAD84EF" w:rsidR="00905593" w:rsidRDefault="00905593" w:rsidP="003438B8">
      <w:pPr>
        <w:spacing w:after="0" w:line="240" w:lineRule="auto"/>
        <w:rPr>
          <w:rFonts w:eastAsia="Aptos" w:cstheme="minorHAnsi"/>
        </w:rPr>
      </w:pPr>
      <w:r>
        <w:rPr>
          <w:rFonts w:eastAsia="Aptos" w:cstheme="minorHAnsi"/>
        </w:rPr>
        <w:lastRenderedPageBreak/>
        <w:t>It was agreed that o</w:t>
      </w:r>
      <w:r w:rsidRPr="00CE5098">
        <w:rPr>
          <w:rFonts w:eastAsia="Aptos" w:cstheme="minorHAnsi"/>
        </w:rPr>
        <w:t xml:space="preserve">ther key areas of work/focus moving forward </w:t>
      </w:r>
      <w:r>
        <w:rPr>
          <w:rFonts w:eastAsia="Aptos" w:cstheme="minorHAnsi"/>
        </w:rPr>
        <w:t>was</w:t>
      </w:r>
      <w:r w:rsidRPr="00CE5098">
        <w:rPr>
          <w:rFonts w:eastAsia="Aptos" w:cstheme="minorHAnsi"/>
        </w:rPr>
        <w:t xml:space="preserve"> to review our response and structures in relation to exploitation, develop our joined-up response to child sexual abuse and to continue developing our quality assurance and analytical work.</w:t>
      </w:r>
    </w:p>
    <w:p w14:paraId="6753B88C" w14:textId="77777777" w:rsidR="003438B8" w:rsidRPr="00CE5098" w:rsidRDefault="003438B8" w:rsidP="003438B8">
      <w:pPr>
        <w:spacing w:after="0" w:line="240" w:lineRule="auto"/>
        <w:rPr>
          <w:rFonts w:eastAsia="Aptos" w:cstheme="minorHAnsi"/>
        </w:rPr>
      </w:pPr>
    </w:p>
    <w:p w14:paraId="191884E0" w14:textId="6DC6CDC9" w:rsidR="00905593" w:rsidRDefault="00905593" w:rsidP="003438B8">
      <w:pPr>
        <w:spacing w:after="0" w:line="240" w:lineRule="auto"/>
        <w:rPr>
          <w:rFonts w:eastAsia="Aptos" w:cstheme="minorHAnsi"/>
        </w:rPr>
      </w:pPr>
      <w:r w:rsidRPr="00CE5098">
        <w:rPr>
          <w:rFonts w:eastAsia="Aptos" w:cstheme="minorHAnsi"/>
        </w:rPr>
        <w:t>As the Partnership move</w:t>
      </w:r>
      <w:r>
        <w:rPr>
          <w:rFonts w:eastAsia="Aptos" w:cstheme="minorHAnsi"/>
        </w:rPr>
        <w:t>d</w:t>
      </w:r>
      <w:r w:rsidRPr="00CE5098">
        <w:rPr>
          <w:rFonts w:eastAsia="Aptos" w:cstheme="minorHAnsi"/>
        </w:rPr>
        <w:t xml:space="preserve"> forward with implementing the changes required for Working Together 2023, it move</w:t>
      </w:r>
      <w:r>
        <w:rPr>
          <w:rFonts w:eastAsia="Aptos" w:cstheme="minorHAnsi"/>
        </w:rPr>
        <w:t>d</w:t>
      </w:r>
      <w:r w:rsidRPr="00CE5098">
        <w:rPr>
          <w:rFonts w:eastAsia="Aptos" w:cstheme="minorHAnsi"/>
        </w:rPr>
        <w:t xml:space="preserve"> forward with the vison of ‘Strong Leadership, Strong Partnership’.</w:t>
      </w:r>
    </w:p>
    <w:p w14:paraId="53CBC8A0" w14:textId="77777777" w:rsidR="003438B8" w:rsidRPr="00CE5098" w:rsidRDefault="003438B8" w:rsidP="003438B8">
      <w:pPr>
        <w:spacing w:after="0" w:line="240" w:lineRule="auto"/>
        <w:rPr>
          <w:rFonts w:eastAsia="Aptos" w:cstheme="minorHAnsi"/>
        </w:rPr>
      </w:pPr>
    </w:p>
    <w:p w14:paraId="0A53F6F1" w14:textId="22C680AB" w:rsidR="00905593" w:rsidRPr="00CE5098" w:rsidRDefault="00905593" w:rsidP="003438B8">
      <w:pPr>
        <w:spacing w:after="0" w:line="240" w:lineRule="auto"/>
        <w:rPr>
          <w:rFonts w:eastAsia="Aptos" w:cstheme="minorHAnsi"/>
          <w:b/>
          <w:bCs/>
        </w:rPr>
      </w:pPr>
      <w:r w:rsidRPr="00CE5098">
        <w:rPr>
          <w:rFonts w:eastAsia="Aptos" w:cstheme="minorHAnsi"/>
          <w:b/>
          <w:bCs/>
        </w:rPr>
        <w:t>2024/25 Priorities:</w:t>
      </w:r>
    </w:p>
    <w:p w14:paraId="5AF2CCE4" w14:textId="77777777" w:rsidR="00905593" w:rsidRPr="00CE5098" w:rsidRDefault="00905593" w:rsidP="00434E82">
      <w:pPr>
        <w:pStyle w:val="ListParagraph"/>
        <w:numPr>
          <w:ilvl w:val="0"/>
          <w:numId w:val="1"/>
        </w:numPr>
        <w:spacing w:after="0" w:line="240" w:lineRule="auto"/>
        <w:rPr>
          <w:rFonts w:eastAsia="Aptos" w:cstheme="minorHAnsi"/>
        </w:rPr>
      </w:pPr>
      <w:r w:rsidRPr="00CE5098">
        <w:rPr>
          <w:rFonts w:eastAsia="Aptos" w:cstheme="minorHAnsi"/>
        </w:rPr>
        <w:t xml:space="preserve">Establishing Strong Leadership with our Partners </w:t>
      </w:r>
    </w:p>
    <w:p w14:paraId="2FAB1FC5" w14:textId="77777777" w:rsidR="00905593" w:rsidRPr="00CE5098" w:rsidRDefault="00905593" w:rsidP="00434E82">
      <w:pPr>
        <w:pStyle w:val="ListParagraph"/>
        <w:numPr>
          <w:ilvl w:val="0"/>
          <w:numId w:val="1"/>
        </w:numPr>
        <w:spacing w:after="0" w:line="240" w:lineRule="auto"/>
        <w:rPr>
          <w:rFonts w:eastAsia="Aptos" w:cstheme="minorHAnsi"/>
        </w:rPr>
      </w:pPr>
      <w:r w:rsidRPr="00CE5098">
        <w:rPr>
          <w:rFonts w:eastAsia="Aptos" w:cstheme="minorHAnsi"/>
        </w:rPr>
        <w:t>Effectively learning from our Case Reviews</w:t>
      </w:r>
    </w:p>
    <w:p w14:paraId="52EE9358" w14:textId="77777777" w:rsidR="00905593" w:rsidRPr="00CE5098" w:rsidRDefault="00905593" w:rsidP="00434E82">
      <w:pPr>
        <w:pStyle w:val="ListParagraph"/>
        <w:numPr>
          <w:ilvl w:val="0"/>
          <w:numId w:val="1"/>
        </w:numPr>
        <w:spacing w:after="0" w:line="240" w:lineRule="auto"/>
        <w:rPr>
          <w:rFonts w:eastAsia="Aptos" w:cstheme="minorHAnsi"/>
        </w:rPr>
      </w:pPr>
      <w:r w:rsidRPr="00CE5098">
        <w:rPr>
          <w:rFonts w:eastAsia="Aptos" w:cstheme="minorHAnsi"/>
        </w:rPr>
        <w:t>Back to basics training</w:t>
      </w:r>
    </w:p>
    <w:p w14:paraId="25977B73" w14:textId="77777777" w:rsidR="00905593" w:rsidRDefault="00905593" w:rsidP="00434E82">
      <w:pPr>
        <w:pStyle w:val="ListParagraph"/>
        <w:numPr>
          <w:ilvl w:val="0"/>
          <w:numId w:val="1"/>
        </w:numPr>
        <w:spacing w:after="0" w:line="240" w:lineRule="auto"/>
        <w:rPr>
          <w:rFonts w:eastAsia="Aptos" w:cstheme="minorHAnsi"/>
        </w:rPr>
      </w:pPr>
      <w:r w:rsidRPr="00CE5098">
        <w:rPr>
          <w:rFonts w:eastAsia="Aptos" w:cstheme="minorHAnsi"/>
        </w:rPr>
        <w:t>Effective Assessments</w:t>
      </w:r>
    </w:p>
    <w:p w14:paraId="650DDE95" w14:textId="77777777" w:rsidR="003438B8" w:rsidRPr="00CE5098" w:rsidRDefault="003438B8" w:rsidP="00434E82">
      <w:pPr>
        <w:pStyle w:val="ListParagraph"/>
        <w:numPr>
          <w:ilvl w:val="0"/>
          <w:numId w:val="1"/>
        </w:numPr>
        <w:spacing w:after="0" w:line="240" w:lineRule="auto"/>
        <w:rPr>
          <w:rFonts w:eastAsia="Aptos" w:cstheme="minorHAnsi"/>
        </w:rPr>
      </w:pPr>
    </w:p>
    <w:p w14:paraId="0884AEE1" w14:textId="0608E5DB" w:rsidR="00905593" w:rsidRPr="00CE5098" w:rsidRDefault="00905593" w:rsidP="003438B8">
      <w:pPr>
        <w:spacing w:after="0" w:line="240" w:lineRule="auto"/>
        <w:rPr>
          <w:rFonts w:eastAsia="Aptos" w:cstheme="minorHAnsi"/>
          <w:b/>
          <w:bCs/>
        </w:rPr>
      </w:pPr>
      <w:r w:rsidRPr="00CE5098">
        <w:rPr>
          <w:rFonts w:eastAsia="Aptos" w:cstheme="minorHAnsi"/>
          <w:b/>
          <w:bCs/>
        </w:rPr>
        <w:t xml:space="preserve">Key </w:t>
      </w:r>
      <w:r w:rsidR="00384DB3">
        <w:rPr>
          <w:rFonts w:eastAsia="Aptos" w:cstheme="minorHAnsi"/>
          <w:b/>
          <w:bCs/>
        </w:rPr>
        <w:t>Areas of Work</w:t>
      </w:r>
      <w:r w:rsidRPr="00CE5098">
        <w:rPr>
          <w:rFonts w:eastAsia="Aptos" w:cstheme="minorHAnsi"/>
          <w:b/>
          <w:bCs/>
        </w:rPr>
        <w:t>:</w:t>
      </w:r>
    </w:p>
    <w:p w14:paraId="6535A46F" w14:textId="77777777" w:rsidR="00905593" w:rsidRPr="00CE5098" w:rsidRDefault="00905593" w:rsidP="00434E82">
      <w:pPr>
        <w:pStyle w:val="ListParagraph"/>
        <w:numPr>
          <w:ilvl w:val="0"/>
          <w:numId w:val="2"/>
        </w:numPr>
        <w:spacing w:after="0" w:line="240" w:lineRule="auto"/>
        <w:rPr>
          <w:rFonts w:eastAsia="Aptos" w:cstheme="minorHAnsi"/>
        </w:rPr>
      </w:pPr>
      <w:r w:rsidRPr="00CE5098">
        <w:rPr>
          <w:rFonts w:eastAsia="Aptos" w:cstheme="minorHAnsi"/>
        </w:rPr>
        <w:t xml:space="preserve">Neglect </w:t>
      </w:r>
    </w:p>
    <w:p w14:paraId="55F22717" w14:textId="77777777" w:rsidR="00905593" w:rsidRPr="00CE5098" w:rsidRDefault="00905593" w:rsidP="00434E82">
      <w:pPr>
        <w:pStyle w:val="ListParagraph"/>
        <w:numPr>
          <w:ilvl w:val="0"/>
          <w:numId w:val="2"/>
        </w:numPr>
        <w:spacing w:after="0" w:line="240" w:lineRule="auto"/>
        <w:rPr>
          <w:rFonts w:eastAsia="Aptos" w:cstheme="minorHAnsi"/>
        </w:rPr>
      </w:pPr>
      <w:r w:rsidRPr="00CE5098">
        <w:rPr>
          <w:rFonts w:eastAsia="Aptos" w:cstheme="minorHAnsi"/>
        </w:rPr>
        <w:t>Child Sexual Abuse</w:t>
      </w:r>
    </w:p>
    <w:p w14:paraId="45D2855B" w14:textId="77777777" w:rsidR="00905593" w:rsidRPr="00CE5098" w:rsidRDefault="00905593" w:rsidP="00434E82">
      <w:pPr>
        <w:pStyle w:val="ListParagraph"/>
        <w:numPr>
          <w:ilvl w:val="0"/>
          <w:numId w:val="2"/>
        </w:numPr>
        <w:spacing w:after="0" w:line="240" w:lineRule="auto"/>
        <w:rPr>
          <w:rFonts w:eastAsia="Aptos" w:cstheme="minorHAnsi"/>
        </w:rPr>
      </w:pPr>
      <w:r w:rsidRPr="00CE5098">
        <w:rPr>
          <w:rFonts w:eastAsia="Aptos" w:cstheme="minorHAnsi"/>
        </w:rPr>
        <w:t xml:space="preserve">Exploitation </w:t>
      </w:r>
    </w:p>
    <w:p w14:paraId="3852D265" w14:textId="77777777" w:rsidR="00905593" w:rsidRPr="00CE5098" w:rsidRDefault="00905593" w:rsidP="00434E82">
      <w:pPr>
        <w:pStyle w:val="ListParagraph"/>
        <w:numPr>
          <w:ilvl w:val="0"/>
          <w:numId w:val="2"/>
        </w:numPr>
        <w:spacing w:after="0" w:line="240" w:lineRule="auto"/>
        <w:rPr>
          <w:rFonts w:eastAsia="Aptos" w:cstheme="minorHAnsi"/>
        </w:rPr>
      </w:pPr>
      <w:r w:rsidRPr="00CE5098">
        <w:rPr>
          <w:rFonts w:eastAsia="Aptos" w:cstheme="minorHAnsi"/>
        </w:rPr>
        <w:t>Mental Health and Wellbeing</w:t>
      </w:r>
    </w:p>
    <w:p w14:paraId="5C5E3A77" w14:textId="77777777" w:rsidR="00905593" w:rsidRPr="00CE5098" w:rsidRDefault="00905593" w:rsidP="003438B8">
      <w:pPr>
        <w:spacing w:after="0" w:line="240" w:lineRule="auto"/>
        <w:rPr>
          <w:rFonts w:eastAsia="Aptos" w:cstheme="minorHAnsi"/>
        </w:rPr>
      </w:pPr>
    </w:p>
    <w:p w14:paraId="25F5D5E7" w14:textId="77777777" w:rsidR="00905593" w:rsidRPr="00CE5098" w:rsidRDefault="00905593" w:rsidP="003438B8">
      <w:pPr>
        <w:spacing w:after="0" w:line="240" w:lineRule="auto"/>
        <w:rPr>
          <w:rFonts w:eastAsia="Aptos" w:cstheme="minorHAnsi"/>
          <w:b/>
          <w:bCs/>
        </w:rPr>
      </w:pPr>
      <w:r w:rsidRPr="00CE5098">
        <w:rPr>
          <w:rFonts w:eastAsia="Aptos" w:cstheme="minorHAnsi"/>
          <w:b/>
          <w:bCs/>
        </w:rPr>
        <w:t>Golden Threads:</w:t>
      </w:r>
    </w:p>
    <w:p w14:paraId="631BBD42" w14:textId="77777777" w:rsidR="00905593" w:rsidRPr="00CE5098" w:rsidRDefault="00905593" w:rsidP="00434E82">
      <w:pPr>
        <w:pStyle w:val="ListParagraph"/>
        <w:numPr>
          <w:ilvl w:val="0"/>
          <w:numId w:val="3"/>
        </w:numPr>
        <w:spacing w:after="0" w:line="240" w:lineRule="auto"/>
        <w:rPr>
          <w:rFonts w:eastAsia="Aptos" w:cstheme="minorHAnsi"/>
        </w:rPr>
      </w:pPr>
      <w:r w:rsidRPr="00CE5098">
        <w:rPr>
          <w:rFonts w:eastAsia="Aptos" w:cstheme="minorHAnsi"/>
        </w:rPr>
        <w:t>Communications – how do we talk about safeguarding.</w:t>
      </w:r>
    </w:p>
    <w:p w14:paraId="3A386B9D" w14:textId="77777777" w:rsidR="00905593" w:rsidRPr="00CE5098" w:rsidRDefault="00905593" w:rsidP="00434E82">
      <w:pPr>
        <w:pStyle w:val="ListParagraph"/>
        <w:numPr>
          <w:ilvl w:val="0"/>
          <w:numId w:val="3"/>
        </w:numPr>
        <w:spacing w:after="0" w:line="240" w:lineRule="auto"/>
        <w:rPr>
          <w:rFonts w:eastAsia="Aptos" w:cstheme="minorHAnsi"/>
        </w:rPr>
      </w:pPr>
      <w:r w:rsidRPr="00CE5098">
        <w:rPr>
          <w:rFonts w:eastAsia="Aptos" w:cstheme="minorHAnsi"/>
        </w:rPr>
        <w:t xml:space="preserve">Information Sharing </w:t>
      </w:r>
    </w:p>
    <w:p w14:paraId="21852953" w14:textId="77777777" w:rsidR="00905593" w:rsidRPr="00CE5098" w:rsidRDefault="00905593" w:rsidP="00434E82">
      <w:pPr>
        <w:pStyle w:val="ListParagraph"/>
        <w:numPr>
          <w:ilvl w:val="0"/>
          <w:numId w:val="3"/>
        </w:numPr>
        <w:spacing w:after="0" w:line="240" w:lineRule="auto"/>
        <w:rPr>
          <w:rFonts w:eastAsia="Aptos" w:cstheme="minorHAnsi"/>
        </w:rPr>
      </w:pPr>
      <w:r w:rsidRPr="00CE5098">
        <w:rPr>
          <w:rFonts w:eastAsia="Aptos" w:cstheme="minorHAnsi"/>
        </w:rPr>
        <w:t>Voice of the Child</w:t>
      </w:r>
    </w:p>
    <w:p w14:paraId="0C8F0CFA" w14:textId="77777777" w:rsidR="00905593" w:rsidRPr="00CE5098" w:rsidRDefault="00905593" w:rsidP="00434E82">
      <w:pPr>
        <w:pStyle w:val="ListParagraph"/>
        <w:numPr>
          <w:ilvl w:val="0"/>
          <w:numId w:val="3"/>
        </w:numPr>
        <w:spacing w:after="0" w:line="240" w:lineRule="auto"/>
        <w:rPr>
          <w:rFonts w:eastAsia="Aptos" w:cstheme="minorHAnsi"/>
        </w:rPr>
      </w:pPr>
      <w:r w:rsidRPr="00CE5098">
        <w:rPr>
          <w:rFonts w:eastAsia="Aptos" w:cstheme="minorHAnsi"/>
        </w:rPr>
        <w:t>Transitions</w:t>
      </w:r>
    </w:p>
    <w:p w14:paraId="66F192A8" w14:textId="77777777" w:rsidR="00905593" w:rsidRPr="00CE5098" w:rsidRDefault="00905593" w:rsidP="00434E82">
      <w:pPr>
        <w:pStyle w:val="ListParagraph"/>
        <w:numPr>
          <w:ilvl w:val="0"/>
          <w:numId w:val="3"/>
        </w:numPr>
        <w:spacing w:after="0" w:line="240" w:lineRule="auto"/>
        <w:rPr>
          <w:rFonts w:eastAsia="Aptos" w:cstheme="minorHAnsi"/>
        </w:rPr>
      </w:pPr>
      <w:r w:rsidRPr="00CE5098">
        <w:rPr>
          <w:rFonts w:eastAsia="Aptos" w:cstheme="minorHAnsi"/>
        </w:rPr>
        <w:t xml:space="preserve">Early Help </w:t>
      </w:r>
    </w:p>
    <w:p w14:paraId="5C942DF1" w14:textId="77777777" w:rsidR="00905593" w:rsidRPr="00CE5098" w:rsidRDefault="00905593" w:rsidP="00434E82">
      <w:pPr>
        <w:pStyle w:val="ListParagraph"/>
        <w:numPr>
          <w:ilvl w:val="0"/>
          <w:numId w:val="3"/>
        </w:numPr>
        <w:spacing w:after="0" w:line="240" w:lineRule="auto"/>
        <w:rPr>
          <w:rFonts w:eastAsia="Aptos" w:cstheme="minorHAnsi"/>
        </w:rPr>
      </w:pPr>
      <w:r w:rsidRPr="00CE5098">
        <w:rPr>
          <w:rFonts w:eastAsia="Aptos" w:cstheme="minorHAnsi"/>
        </w:rPr>
        <w:t>Good Quality Assessments</w:t>
      </w:r>
    </w:p>
    <w:p w14:paraId="49E3F419" w14:textId="5662A330" w:rsidR="00FE06C5" w:rsidRPr="002749BF" w:rsidRDefault="00905593" w:rsidP="00434E82">
      <w:pPr>
        <w:pStyle w:val="ListParagraph"/>
        <w:numPr>
          <w:ilvl w:val="0"/>
          <w:numId w:val="3"/>
        </w:numPr>
        <w:spacing w:after="0" w:line="240" w:lineRule="auto"/>
        <w:rPr>
          <w:rFonts w:eastAsia="Aptos" w:cstheme="minorHAnsi"/>
        </w:rPr>
      </w:pPr>
      <w:r w:rsidRPr="00CE5098">
        <w:rPr>
          <w:rFonts w:eastAsia="Aptos" w:cstheme="minorHAnsi"/>
        </w:rPr>
        <w:t>Learning from our Case Reviews</w:t>
      </w:r>
    </w:p>
    <w:p w14:paraId="4244D723" w14:textId="77777777" w:rsidR="00FE06C5" w:rsidRDefault="00FE06C5" w:rsidP="00986E15">
      <w:pPr>
        <w:spacing w:after="0" w:line="240" w:lineRule="auto"/>
        <w:rPr>
          <w:b/>
          <w:bCs/>
        </w:rPr>
      </w:pPr>
    </w:p>
    <w:p w14:paraId="5DC4AA5F" w14:textId="36DF8BF6" w:rsidR="00986E15" w:rsidRDefault="00032507" w:rsidP="00986E15">
      <w:pPr>
        <w:spacing w:after="0" w:line="240" w:lineRule="auto"/>
        <w:rPr>
          <w:b/>
          <w:bCs/>
        </w:rPr>
      </w:pPr>
      <w:r>
        <w:rPr>
          <w:b/>
          <w:bCs/>
        </w:rPr>
        <w:t>The work of the partnership including m</w:t>
      </w:r>
      <w:r w:rsidR="00986E15" w:rsidRPr="00924321">
        <w:rPr>
          <w:b/>
          <w:bCs/>
        </w:rPr>
        <w:t>ulti-</w:t>
      </w:r>
      <w:r>
        <w:rPr>
          <w:b/>
          <w:bCs/>
        </w:rPr>
        <w:t>a</w:t>
      </w:r>
      <w:r w:rsidR="00986E15" w:rsidRPr="00924321">
        <w:rPr>
          <w:b/>
          <w:bCs/>
        </w:rPr>
        <w:t xml:space="preserve">gency </w:t>
      </w:r>
      <w:r>
        <w:rPr>
          <w:b/>
          <w:bCs/>
        </w:rPr>
        <w:t>a</w:t>
      </w:r>
      <w:r w:rsidR="00986E15" w:rsidRPr="00924321">
        <w:rPr>
          <w:b/>
          <w:bCs/>
        </w:rPr>
        <w:t>udit</w:t>
      </w:r>
      <w:r>
        <w:rPr>
          <w:b/>
          <w:bCs/>
        </w:rPr>
        <w:t>s and q</w:t>
      </w:r>
      <w:r w:rsidR="00DC0167">
        <w:rPr>
          <w:b/>
          <w:bCs/>
        </w:rPr>
        <w:t xml:space="preserve">uality </w:t>
      </w:r>
      <w:r>
        <w:rPr>
          <w:b/>
          <w:bCs/>
        </w:rPr>
        <w:t>a</w:t>
      </w:r>
      <w:r w:rsidR="00DC0167">
        <w:rPr>
          <w:b/>
          <w:bCs/>
        </w:rPr>
        <w:t xml:space="preserve">ssurance </w:t>
      </w:r>
      <w:r>
        <w:rPr>
          <w:b/>
          <w:bCs/>
        </w:rPr>
        <w:t>w</w:t>
      </w:r>
      <w:r w:rsidR="00DC0167">
        <w:rPr>
          <w:b/>
          <w:bCs/>
        </w:rPr>
        <w:t>ork:</w:t>
      </w:r>
    </w:p>
    <w:p w14:paraId="21E9D1CE" w14:textId="77777777" w:rsidR="00986E15" w:rsidRDefault="00986E15" w:rsidP="00986E15">
      <w:pPr>
        <w:spacing w:after="0" w:line="240" w:lineRule="auto"/>
      </w:pPr>
      <w:r>
        <w:t xml:space="preserve">Over the past 14 months the Partnership has </w:t>
      </w:r>
      <w:r w:rsidRPr="00A83337">
        <w:t>accelerat</w:t>
      </w:r>
      <w:r>
        <w:t>ed</w:t>
      </w:r>
      <w:r w:rsidRPr="00A83337">
        <w:t xml:space="preserve"> the amount of multiagency assurance work </w:t>
      </w:r>
      <w:r>
        <w:t>that has taken place.</w:t>
      </w:r>
      <w:r w:rsidRPr="00A83337">
        <w:t xml:space="preserve"> </w:t>
      </w:r>
      <w:r>
        <w:t>T</w:t>
      </w:r>
      <w:r w:rsidRPr="00A83337">
        <w:t>o strengthen this position</w:t>
      </w:r>
      <w:r>
        <w:t xml:space="preserve"> further as part of our review of our Multi-Agency Safeguarding Arrangements,</w:t>
      </w:r>
      <w:r w:rsidRPr="00A83337">
        <w:t xml:space="preserve"> </w:t>
      </w:r>
      <w:r>
        <w:t xml:space="preserve">we have formed a new </w:t>
      </w:r>
      <w:r w:rsidRPr="00A83337">
        <w:t>multi</w:t>
      </w:r>
      <w:r>
        <w:t>-</w:t>
      </w:r>
      <w:r w:rsidRPr="00A83337">
        <w:t xml:space="preserve">agency </w:t>
      </w:r>
      <w:r>
        <w:t>Pan Beds Assurance and Improvement</w:t>
      </w:r>
      <w:r w:rsidRPr="00A83337">
        <w:t xml:space="preserve"> Group to ensure the impact from assurance work is evidenced, the learning progressed and any future assurance work that is required, is scheduled</w:t>
      </w:r>
      <w:r>
        <w:t>.</w:t>
      </w:r>
    </w:p>
    <w:p w14:paraId="2222A228" w14:textId="77777777" w:rsidR="00986E15" w:rsidRDefault="00986E15" w:rsidP="00986E15">
      <w:pPr>
        <w:spacing w:after="0" w:line="240" w:lineRule="auto"/>
      </w:pPr>
    </w:p>
    <w:p w14:paraId="757EE9D7" w14:textId="31D31718" w:rsidR="00986E15" w:rsidRDefault="00986E15" w:rsidP="00986E15">
      <w:pPr>
        <w:spacing w:after="0" w:line="240" w:lineRule="auto"/>
        <w:rPr>
          <w:b/>
          <w:bCs/>
        </w:rPr>
      </w:pPr>
      <w:r>
        <w:rPr>
          <w:b/>
          <w:bCs/>
        </w:rPr>
        <w:t xml:space="preserve">CBSCP has undertaken the following assurance activities: </w:t>
      </w:r>
    </w:p>
    <w:p w14:paraId="20DDE674" w14:textId="77777777" w:rsidR="00986E15" w:rsidRPr="00924321" w:rsidRDefault="00986E15" w:rsidP="00434E82">
      <w:pPr>
        <w:pStyle w:val="ListParagraph"/>
        <w:numPr>
          <w:ilvl w:val="0"/>
          <w:numId w:val="7"/>
        </w:numPr>
        <w:spacing w:after="0" w:line="240" w:lineRule="auto"/>
      </w:pPr>
      <w:r>
        <w:t xml:space="preserve">Pan Bedfordshire </w:t>
      </w:r>
      <w:r w:rsidRPr="00924321">
        <w:t>CIN Neglect Audit – October 2023</w:t>
      </w:r>
    </w:p>
    <w:p w14:paraId="7BDEA1AA" w14:textId="77777777" w:rsidR="00986E15" w:rsidRPr="00924321" w:rsidRDefault="00986E15" w:rsidP="00434E82">
      <w:pPr>
        <w:pStyle w:val="ListParagraph"/>
        <w:numPr>
          <w:ilvl w:val="0"/>
          <w:numId w:val="7"/>
        </w:numPr>
        <w:spacing w:after="0" w:line="240" w:lineRule="auto"/>
      </w:pPr>
      <w:r w:rsidRPr="00924321">
        <w:t>Serious Youth Violence Audit – February 2024</w:t>
      </w:r>
    </w:p>
    <w:p w14:paraId="26ECF96F" w14:textId="77777777" w:rsidR="00986E15" w:rsidRPr="00924321" w:rsidRDefault="00986E15" w:rsidP="00434E82">
      <w:pPr>
        <w:pStyle w:val="ListParagraph"/>
        <w:numPr>
          <w:ilvl w:val="0"/>
          <w:numId w:val="7"/>
        </w:numPr>
        <w:spacing w:after="0" w:line="240" w:lineRule="auto"/>
      </w:pPr>
      <w:r>
        <w:t xml:space="preserve">CBSCP </w:t>
      </w:r>
      <w:r w:rsidRPr="00924321">
        <w:t>Re-Referrals Audit – May 2024</w:t>
      </w:r>
    </w:p>
    <w:p w14:paraId="6C29E8C5" w14:textId="77777777" w:rsidR="00986E15" w:rsidRPr="00924321" w:rsidRDefault="00986E15" w:rsidP="00434E82">
      <w:pPr>
        <w:pStyle w:val="ListParagraph"/>
        <w:numPr>
          <w:ilvl w:val="0"/>
          <w:numId w:val="7"/>
        </w:numPr>
        <w:spacing w:after="0" w:line="240" w:lineRule="auto"/>
      </w:pPr>
      <w:r>
        <w:t xml:space="preserve">Pan Bedfordshire </w:t>
      </w:r>
      <w:r w:rsidRPr="00924321">
        <w:t xml:space="preserve">Child to Parent Abuse Audit – October 2024 </w:t>
      </w:r>
    </w:p>
    <w:p w14:paraId="1ED3B86B" w14:textId="77777777" w:rsidR="00986E15" w:rsidRDefault="00986E15" w:rsidP="00434E82">
      <w:pPr>
        <w:pStyle w:val="ListParagraph"/>
        <w:numPr>
          <w:ilvl w:val="0"/>
          <w:numId w:val="7"/>
        </w:numPr>
        <w:spacing w:after="0" w:line="240" w:lineRule="auto"/>
      </w:pPr>
      <w:r>
        <w:t xml:space="preserve">Pan Bedfordshire </w:t>
      </w:r>
      <w:r w:rsidRPr="00924321">
        <w:t>Child Sexual Abuse – NSPCC Snapshot – October 2024</w:t>
      </w:r>
    </w:p>
    <w:p w14:paraId="3B56953F" w14:textId="77777777" w:rsidR="00986E15" w:rsidRDefault="00986E15" w:rsidP="00434E82">
      <w:pPr>
        <w:pStyle w:val="ListParagraph"/>
        <w:numPr>
          <w:ilvl w:val="0"/>
          <w:numId w:val="7"/>
        </w:numPr>
        <w:spacing w:after="0" w:line="240" w:lineRule="auto"/>
      </w:pPr>
      <w:r>
        <w:lastRenderedPageBreak/>
        <w:t xml:space="preserve">Pan Bedfordshire Voice of the Child and Was Not Brought Assurance Reports – June – November 2024 </w:t>
      </w:r>
    </w:p>
    <w:p w14:paraId="07F0E1C2" w14:textId="1D34FC05" w:rsidR="0079041A" w:rsidRPr="00F63D1A" w:rsidRDefault="0079041A" w:rsidP="00434E82">
      <w:pPr>
        <w:pStyle w:val="ListParagraph"/>
        <w:numPr>
          <w:ilvl w:val="0"/>
          <w:numId w:val="7"/>
        </w:numPr>
        <w:spacing w:after="0" w:line="240" w:lineRule="auto"/>
      </w:pPr>
      <w:r w:rsidRPr="00F63D1A">
        <w:t>Central Bedfordshire Multi-</w:t>
      </w:r>
      <w:r w:rsidR="009F46CF" w:rsidRPr="00F63D1A">
        <w:t>Agency</w:t>
      </w:r>
      <w:r w:rsidRPr="00F63D1A">
        <w:t xml:space="preserve"> Neglect Audit – February 2025</w:t>
      </w:r>
    </w:p>
    <w:p w14:paraId="4B53CC9F" w14:textId="77777777" w:rsidR="004D69A0" w:rsidRDefault="004D69A0" w:rsidP="004D69A0">
      <w:pPr>
        <w:spacing w:after="0" w:line="240" w:lineRule="auto"/>
        <w:rPr>
          <w:rFonts w:ascii="Calibri" w:eastAsia="Aptos" w:hAnsi="Calibri" w:cs="Calibri"/>
          <w:b/>
          <w:bCs/>
        </w:rPr>
      </w:pPr>
    </w:p>
    <w:p w14:paraId="797D48EC" w14:textId="01559578" w:rsidR="004D69A0" w:rsidRPr="00144B99" w:rsidRDefault="004D69A0" w:rsidP="004D69A0">
      <w:pPr>
        <w:spacing w:after="0" w:line="240" w:lineRule="auto"/>
        <w:rPr>
          <w:rFonts w:eastAsia="Aptos" w:cs="Calibri"/>
          <w:b/>
          <w:bCs/>
        </w:rPr>
      </w:pPr>
      <w:r w:rsidRPr="00477942">
        <w:rPr>
          <w:rFonts w:eastAsia="Aptos" w:cs="Calibri"/>
          <w:b/>
          <w:bCs/>
        </w:rPr>
        <w:t>Neglect:</w:t>
      </w:r>
    </w:p>
    <w:p w14:paraId="5663705B" w14:textId="77777777" w:rsidR="004D69A0" w:rsidRPr="00477942" w:rsidRDefault="004D69A0" w:rsidP="004D69A0">
      <w:pPr>
        <w:spacing w:after="0" w:line="240" w:lineRule="auto"/>
        <w:rPr>
          <w:rFonts w:eastAsia="Aptos" w:cs="Calibri"/>
          <w:b/>
          <w:bCs/>
        </w:rPr>
      </w:pPr>
      <w:r w:rsidRPr="00477942">
        <w:rPr>
          <w:rFonts w:eastAsia="Aptos" w:cs="Calibri"/>
        </w:rPr>
        <w:t xml:space="preserve">The Pan Bedfordshire </w:t>
      </w:r>
      <w:r w:rsidRPr="00477942">
        <w:rPr>
          <w:rFonts w:eastAsia="Aptos" w:cs="Calibri"/>
          <w:b/>
          <w:bCs/>
        </w:rPr>
        <w:t>Neglect Strategy Annual Delivery Plan</w:t>
      </w:r>
      <w:r w:rsidRPr="00477942">
        <w:rPr>
          <w:rFonts w:eastAsia="Aptos" w:cs="Calibri"/>
        </w:rPr>
        <w:t xml:space="preserve"> was refreshed in May 2024 and contained the following priorities:</w:t>
      </w:r>
    </w:p>
    <w:p w14:paraId="3FDA3F2E" w14:textId="77777777" w:rsidR="004D69A0" w:rsidRPr="00477942" w:rsidRDefault="004D69A0" w:rsidP="004D69A0">
      <w:pPr>
        <w:spacing w:after="0" w:line="240" w:lineRule="auto"/>
        <w:rPr>
          <w:rFonts w:eastAsia="Aptos" w:cs="Calibri"/>
        </w:rPr>
      </w:pPr>
    </w:p>
    <w:p w14:paraId="32B6A5AC" w14:textId="77777777" w:rsidR="004D69A0" w:rsidRPr="00477942" w:rsidRDefault="004D69A0" w:rsidP="00434E82">
      <w:pPr>
        <w:numPr>
          <w:ilvl w:val="0"/>
          <w:numId w:val="4"/>
        </w:numPr>
        <w:spacing w:after="0" w:line="240" w:lineRule="auto"/>
        <w:contextualSpacing/>
        <w:rPr>
          <w:rFonts w:eastAsia="Aptos" w:cs="Calibri"/>
        </w:rPr>
      </w:pPr>
      <w:r w:rsidRPr="00477942">
        <w:rPr>
          <w:rFonts w:eastAsia="Aptos" w:cs="Calibri"/>
          <w:b/>
          <w:bCs/>
        </w:rPr>
        <w:t>Priority 1:</w:t>
      </w:r>
      <w:r w:rsidRPr="00477942">
        <w:rPr>
          <w:rFonts w:eastAsia="Aptos" w:cs="Calibri"/>
        </w:rPr>
        <w:t xml:space="preserve"> Strategic commitment across all agencies to understand, prevent and reduce the impact of neglect Pan Bedfordshire.</w:t>
      </w:r>
    </w:p>
    <w:p w14:paraId="23FE88C9" w14:textId="77777777" w:rsidR="004D69A0" w:rsidRPr="00477942" w:rsidRDefault="004D69A0" w:rsidP="00434E82">
      <w:pPr>
        <w:numPr>
          <w:ilvl w:val="0"/>
          <w:numId w:val="4"/>
        </w:numPr>
        <w:spacing w:after="0" w:line="240" w:lineRule="auto"/>
        <w:contextualSpacing/>
        <w:rPr>
          <w:rFonts w:eastAsia="Aptos" w:cs="Calibri"/>
        </w:rPr>
      </w:pPr>
      <w:r w:rsidRPr="00477942">
        <w:rPr>
          <w:rFonts w:eastAsia="Aptos" w:cs="Calibri"/>
          <w:b/>
          <w:bCs/>
        </w:rPr>
        <w:t>Priority 2:</w:t>
      </w:r>
      <w:r w:rsidRPr="00477942">
        <w:rPr>
          <w:rFonts w:eastAsia="Aptos" w:cs="Calibri"/>
        </w:rPr>
        <w:t xml:space="preserve"> Better understanding of Neglect through a dataset, learning from audits and through research.</w:t>
      </w:r>
    </w:p>
    <w:p w14:paraId="76D23D90" w14:textId="77777777" w:rsidR="004D69A0" w:rsidRPr="00477942" w:rsidRDefault="004D69A0" w:rsidP="00434E82">
      <w:pPr>
        <w:numPr>
          <w:ilvl w:val="0"/>
          <w:numId w:val="4"/>
        </w:numPr>
        <w:spacing w:after="0" w:line="240" w:lineRule="auto"/>
        <w:contextualSpacing/>
        <w:rPr>
          <w:rFonts w:eastAsia="Aptos" w:cs="Calibri"/>
        </w:rPr>
      </w:pPr>
      <w:r w:rsidRPr="00477942">
        <w:rPr>
          <w:rFonts w:eastAsia="Aptos" w:cs="Calibri"/>
          <w:b/>
          <w:bCs/>
        </w:rPr>
        <w:t>Priority 3:</w:t>
      </w:r>
      <w:r w:rsidRPr="00477942">
        <w:rPr>
          <w:rFonts w:eastAsia="Aptos" w:cs="Calibri"/>
        </w:rPr>
        <w:t xml:space="preserve"> To re-launch and embed the Graded Care Profile (GCP2) Pan Bedfordshire.</w:t>
      </w:r>
    </w:p>
    <w:p w14:paraId="7A90C681" w14:textId="77777777" w:rsidR="004D69A0" w:rsidRPr="00477942" w:rsidRDefault="004D69A0" w:rsidP="00434E82">
      <w:pPr>
        <w:numPr>
          <w:ilvl w:val="0"/>
          <w:numId w:val="4"/>
        </w:numPr>
        <w:spacing w:after="0" w:line="240" w:lineRule="auto"/>
        <w:contextualSpacing/>
        <w:rPr>
          <w:rFonts w:eastAsia="Aptos" w:cs="Calibri"/>
        </w:rPr>
      </w:pPr>
      <w:r w:rsidRPr="00477942">
        <w:rPr>
          <w:rFonts w:eastAsia="Aptos" w:cs="Calibri"/>
          <w:b/>
          <w:bCs/>
        </w:rPr>
        <w:t>Priority 4:</w:t>
      </w:r>
      <w:r w:rsidRPr="00477942">
        <w:rPr>
          <w:rFonts w:eastAsia="Aptos" w:cs="Calibri"/>
        </w:rPr>
        <w:t xml:space="preserve"> To re-launch and embed the Neglect Screening Tool.</w:t>
      </w:r>
    </w:p>
    <w:p w14:paraId="1F1C332F" w14:textId="77777777" w:rsidR="004D69A0" w:rsidRPr="00477942" w:rsidRDefault="004D69A0" w:rsidP="00434E82">
      <w:pPr>
        <w:numPr>
          <w:ilvl w:val="0"/>
          <w:numId w:val="4"/>
        </w:numPr>
        <w:spacing w:after="0" w:line="240" w:lineRule="auto"/>
        <w:contextualSpacing/>
        <w:rPr>
          <w:rFonts w:eastAsia="Aptos" w:cs="Calibri"/>
        </w:rPr>
      </w:pPr>
      <w:r w:rsidRPr="00477942">
        <w:rPr>
          <w:rFonts w:eastAsia="Aptos" w:cs="Calibri"/>
          <w:b/>
          <w:bCs/>
        </w:rPr>
        <w:t>Priority 5:</w:t>
      </w:r>
      <w:r w:rsidRPr="00477942">
        <w:rPr>
          <w:rFonts w:eastAsia="Aptos" w:cs="Calibri"/>
        </w:rPr>
        <w:t xml:space="preserve"> Equip our safeguarding workforce to respond to training and development needs - Neglect.</w:t>
      </w:r>
    </w:p>
    <w:p w14:paraId="17E45058" w14:textId="77777777" w:rsidR="004D69A0" w:rsidRPr="00477942" w:rsidRDefault="004D69A0" w:rsidP="00434E82">
      <w:pPr>
        <w:numPr>
          <w:ilvl w:val="0"/>
          <w:numId w:val="4"/>
        </w:numPr>
        <w:spacing w:after="0" w:line="240" w:lineRule="auto"/>
        <w:contextualSpacing/>
        <w:rPr>
          <w:rFonts w:eastAsia="Aptos" w:cs="Calibri"/>
        </w:rPr>
      </w:pPr>
      <w:r w:rsidRPr="00477942">
        <w:rPr>
          <w:rFonts w:eastAsia="Aptos" w:cs="Calibri"/>
          <w:b/>
          <w:bCs/>
        </w:rPr>
        <w:t>Priority 6:</w:t>
      </w:r>
      <w:r w:rsidRPr="00477942">
        <w:rPr>
          <w:rFonts w:eastAsia="Aptos" w:cs="Calibri"/>
        </w:rPr>
        <w:t xml:space="preserve"> To continue to raise awareness of Neglect.</w:t>
      </w:r>
    </w:p>
    <w:p w14:paraId="2CEAF146" w14:textId="77777777" w:rsidR="004D69A0" w:rsidRPr="00477942" w:rsidRDefault="004D69A0" w:rsidP="004D69A0">
      <w:pPr>
        <w:spacing w:after="0" w:line="240" w:lineRule="auto"/>
        <w:rPr>
          <w:rFonts w:eastAsia="Aptos" w:cs="Calibri"/>
          <w:lang w:eastAsia="en-GB"/>
        </w:rPr>
      </w:pPr>
    </w:p>
    <w:p w14:paraId="4C36D1D6" w14:textId="5655F4E5" w:rsidR="004D69A0" w:rsidRPr="00477942" w:rsidRDefault="004D69A0" w:rsidP="004D69A0">
      <w:pPr>
        <w:spacing w:after="0" w:line="240" w:lineRule="auto"/>
        <w:rPr>
          <w:rFonts w:eastAsia="Aptos" w:cs="Calibri"/>
          <w:b/>
          <w:bCs/>
          <w:lang w:eastAsia="en-GB"/>
        </w:rPr>
      </w:pPr>
      <w:r w:rsidRPr="00477942">
        <w:rPr>
          <w:rFonts w:eastAsia="Aptos" w:cs="Calibri"/>
          <w:b/>
          <w:bCs/>
          <w:lang w:eastAsia="en-GB"/>
        </w:rPr>
        <w:t>Work of the Neglect Sub-Group</w:t>
      </w:r>
      <w:r w:rsidR="00E55825" w:rsidRPr="00144B99">
        <w:rPr>
          <w:rFonts w:eastAsia="Aptos" w:cs="Calibri"/>
          <w:b/>
          <w:bCs/>
          <w:lang w:eastAsia="en-GB"/>
        </w:rPr>
        <w:t xml:space="preserve"> including </w:t>
      </w:r>
      <w:r w:rsidR="00D32EAB">
        <w:rPr>
          <w:rFonts w:eastAsia="Aptos" w:cs="Calibri"/>
          <w:b/>
          <w:bCs/>
          <w:lang w:eastAsia="en-GB"/>
        </w:rPr>
        <w:t xml:space="preserve">follow-up from </w:t>
      </w:r>
      <w:r w:rsidR="002918EC">
        <w:rPr>
          <w:rFonts w:eastAsia="Aptos" w:cs="Calibri"/>
          <w:b/>
          <w:bCs/>
          <w:lang w:eastAsia="en-GB"/>
        </w:rPr>
        <w:t xml:space="preserve">2023 </w:t>
      </w:r>
      <w:r w:rsidR="00E55825" w:rsidRPr="00144B99">
        <w:rPr>
          <w:rFonts w:eastAsia="Aptos" w:cs="Calibri"/>
          <w:b/>
          <w:bCs/>
          <w:lang w:eastAsia="en-GB"/>
        </w:rPr>
        <w:t>CIN Neglect Audit</w:t>
      </w:r>
      <w:r w:rsidRPr="00477942">
        <w:rPr>
          <w:rFonts w:eastAsia="Aptos" w:cs="Calibri"/>
          <w:b/>
          <w:bCs/>
          <w:lang w:eastAsia="en-GB"/>
        </w:rPr>
        <w:t>:</w:t>
      </w:r>
    </w:p>
    <w:p w14:paraId="6E1CDC8D" w14:textId="62D0E0A4" w:rsidR="004D69A0" w:rsidRPr="00477942" w:rsidRDefault="004D69A0" w:rsidP="004D69A0">
      <w:pPr>
        <w:spacing w:after="0" w:line="240" w:lineRule="auto"/>
        <w:rPr>
          <w:rFonts w:eastAsia="Aptos" w:cs="Calibri"/>
          <w:lang w:eastAsia="en-GB"/>
        </w:rPr>
      </w:pPr>
      <w:r w:rsidRPr="00477942">
        <w:rPr>
          <w:rFonts w:eastAsia="Aptos" w:cs="Calibri"/>
          <w:lang w:eastAsia="en-GB"/>
        </w:rPr>
        <w:t>In October 2023 the Neglect Sub-Group carried out a Pan Bedfordshire Neglect/C</w:t>
      </w:r>
      <w:r w:rsidR="00E55825" w:rsidRPr="00144B99">
        <w:rPr>
          <w:rFonts w:eastAsia="Aptos" w:cs="Calibri"/>
          <w:lang w:eastAsia="en-GB"/>
        </w:rPr>
        <w:t xml:space="preserve">hild in </w:t>
      </w:r>
      <w:r w:rsidRPr="00477942">
        <w:rPr>
          <w:rFonts w:eastAsia="Aptos" w:cs="Calibri"/>
          <w:lang w:eastAsia="en-GB"/>
        </w:rPr>
        <w:t>N</w:t>
      </w:r>
      <w:r w:rsidR="00E55825" w:rsidRPr="00144B99">
        <w:rPr>
          <w:rFonts w:eastAsia="Aptos" w:cs="Calibri"/>
          <w:lang w:eastAsia="en-GB"/>
        </w:rPr>
        <w:t>eed</w:t>
      </w:r>
      <w:r w:rsidRPr="00477942">
        <w:rPr>
          <w:rFonts w:eastAsia="Aptos" w:cs="Calibri"/>
          <w:lang w:eastAsia="en-GB"/>
        </w:rPr>
        <w:t xml:space="preserve"> Audit. </w:t>
      </w:r>
    </w:p>
    <w:p w14:paraId="6445F6F2" w14:textId="77777777" w:rsidR="004D69A0" w:rsidRPr="00477942" w:rsidRDefault="004D69A0" w:rsidP="004D69A0">
      <w:pPr>
        <w:spacing w:after="0" w:line="240" w:lineRule="auto"/>
        <w:rPr>
          <w:rFonts w:eastAsia="Aptos" w:cs="Calibri"/>
          <w:lang w:eastAsia="en-GB"/>
        </w:rPr>
      </w:pPr>
    </w:p>
    <w:p w14:paraId="6B1F8724" w14:textId="77777777" w:rsidR="004D69A0" w:rsidRPr="00477942" w:rsidRDefault="004D69A0" w:rsidP="004D69A0">
      <w:pPr>
        <w:spacing w:after="0" w:line="240" w:lineRule="auto"/>
        <w:rPr>
          <w:rFonts w:eastAsia="Aptos" w:cs="Calibri"/>
          <w:lang w:eastAsia="en-GB"/>
        </w:rPr>
      </w:pPr>
      <w:r w:rsidRPr="00477942">
        <w:rPr>
          <w:rFonts w:eastAsia="Aptos" w:cs="Calibri"/>
          <w:lang w:eastAsia="en-GB"/>
        </w:rPr>
        <w:t xml:space="preserve">The audit highlighted several areas of good practice including that there was a wide range of multi-agency partners involved in supporting cases including schools and housing teams, there was evidence of appropriate interventions being put in place, overall good information sharing, some examples of the escalation process being used when needed and, in some cases, the GCP2 was used.  </w:t>
      </w:r>
    </w:p>
    <w:p w14:paraId="33905921" w14:textId="77777777" w:rsidR="004D69A0" w:rsidRPr="00477942" w:rsidRDefault="004D69A0" w:rsidP="004D69A0">
      <w:pPr>
        <w:spacing w:after="0" w:line="240" w:lineRule="auto"/>
        <w:rPr>
          <w:rFonts w:eastAsia="Aptos" w:cs="Calibri"/>
          <w:lang w:eastAsia="en-GB"/>
        </w:rPr>
      </w:pPr>
    </w:p>
    <w:p w14:paraId="43B813F1" w14:textId="77777777" w:rsidR="004D69A0" w:rsidRPr="00477942" w:rsidRDefault="004D69A0" w:rsidP="00CF3F12">
      <w:pPr>
        <w:spacing w:after="0" w:line="240" w:lineRule="auto"/>
        <w:rPr>
          <w:rFonts w:eastAsia="Aptos" w:cs="Calibri"/>
          <w:lang w:eastAsia="en-GB"/>
        </w:rPr>
      </w:pPr>
      <w:r w:rsidRPr="00477942">
        <w:rPr>
          <w:rFonts w:eastAsia="Aptos" w:cs="Calibri"/>
          <w:lang w:eastAsia="en-GB"/>
        </w:rPr>
        <w:t>There were also some areas for improvement that were identified, these included, although partners were working with families and lots of interventions were put in place some families had been known to services for a significant period of time and there was no or little evidence of sustained change, the GCP2 was not being used as standard practice, some cases hadn’t involved the GP, or the GP hadn’t reviewed all records of a family when presented with a safeguarding concern about a child or parent. There was little evidence of multi-agency chronologies being used, some cases focused on the needs of the parents rather than the child and in some cases the lived experience of children was unclear. The role of birth fathers was a common theme with limited information on them.</w:t>
      </w:r>
    </w:p>
    <w:p w14:paraId="07E1CCEF" w14:textId="77777777" w:rsidR="004D69A0" w:rsidRPr="00477942" w:rsidRDefault="004D69A0" w:rsidP="00CF3F12">
      <w:pPr>
        <w:spacing w:after="0" w:line="240" w:lineRule="auto"/>
        <w:rPr>
          <w:rFonts w:eastAsia="Aptos" w:cs="Calibri"/>
          <w:lang w:eastAsia="en-GB"/>
        </w:rPr>
      </w:pPr>
    </w:p>
    <w:p w14:paraId="7C7FB221" w14:textId="5E374A32" w:rsidR="004D69A0" w:rsidRPr="00477942" w:rsidRDefault="004D69A0" w:rsidP="00CF3F12">
      <w:pPr>
        <w:spacing w:after="0" w:line="240" w:lineRule="auto"/>
        <w:rPr>
          <w:rFonts w:eastAsia="Aptos" w:cs="Calibri"/>
          <w:lang w:eastAsia="en-GB"/>
        </w:rPr>
      </w:pPr>
      <w:r w:rsidRPr="00477942">
        <w:rPr>
          <w:rFonts w:eastAsia="Aptos" w:cs="Calibri"/>
          <w:lang w:eastAsia="en-GB"/>
        </w:rPr>
        <w:t xml:space="preserve">The recommendations from this audit were taken on by the Neglect Sub-group and were incorporated into Neglect Strategy Annual Work Plan </w:t>
      </w:r>
      <w:r w:rsidR="0086025E">
        <w:rPr>
          <w:rFonts w:eastAsia="Aptos" w:cs="Calibri"/>
          <w:lang w:eastAsia="en-GB"/>
        </w:rPr>
        <w:t xml:space="preserve">during 2024/25 </w:t>
      </w:r>
      <w:r w:rsidRPr="00477942">
        <w:rPr>
          <w:rFonts w:eastAsia="Aptos" w:cs="Calibri"/>
          <w:lang w:eastAsia="en-GB"/>
        </w:rPr>
        <w:t xml:space="preserve">– </w:t>
      </w:r>
      <w:r w:rsidRPr="00144B99">
        <w:rPr>
          <w:rFonts w:eastAsia="Aptos" w:cs="Calibri"/>
          <w:lang w:eastAsia="en-GB"/>
        </w:rPr>
        <w:t>A copy of the work plan is available on request.</w:t>
      </w:r>
    </w:p>
    <w:p w14:paraId="4651155D" w14:textId="77777777" w:rsidR="004D69A0" w:rsidRPr="00477942" w:rsidRDefault="004D69A0" w:rsidP="00CF3F12">
      <w:pPr>
        <w:spacing w:after="0" w:line="240" w:lineRule="auto"/>
        <w:rPr>
          <w:rFonts w:eastAsia="Times New Roman" w:cs="Calibri"/>
          <w:kern w:val="0"/>
          <w:lang w:eastAsia="en-GB"/>
          <w14:ligatures w14:val="none"/>
        </w:rPr>
      </w:pPr>
    </w:p>
    <w:p w14:paraId="2FAD6289" w14:textId="77777777" w:rsidR="004D69A0" w:rsidRPr="00477942" w:rsidRDefault="004D69A0" w:rsidP="00CF3F12">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 xml:space="preserve">The overarching Neglect Strategy is available on the Safeguarding Bedfordshire Website: </w:t>
      </w:r>
    </w:p>
    <w:p w14:paraId="29A9DBC4" w14:textId="77777777" w:rsidR="004D69A0" w:rsidRPr="00477942" w:rsidRDefault="004D69A0" w:rsidP="00CF3F12">
      <w:pPr>
        <w:spacing w:after="0" w:line="240" w:lineRule="auto"/>
        <w:rPr>
          <w:rFonts w:eastAsia="Times New Roman" w:cs="Times New Roman"/>
          <w:kern w:val="0"/>
          <w:lang w:eastAsia="en-GB"/>
          <w14:ligatures w14:val="none"/>
        </w:rPr>
      </w:pPr>
      <w:hyperlink r:id="rId15" w:history="1">
        <w:r w:rsidRPr="00477942">
          <w:rPr>
            <w:rFonts w:eastAsia="Times New Roman" w:cs="Calibri"/>
            <w:color w:val="0563C1"/>
            <w:kern w:val="0"/>
            <w:u w:val="single"/>
            <w:lang w:eastAsia="en-GB"/>
            <w14:ligatures w14:val="none"/>
          </w:rPr>
          <w:t>https://safeguardingbedfordshire.org.uk/assets/b3a83ecf/pan_beds_neglect_strategy_2023_-_2026_v5_06.06.23.docx</w:t>
        </w:r>
      </w:hyperlink>
    </w:p>
    <w:p w14:paraId="7460B84E" w14:textId="77777777" w:rsidR="004D69A0" w:rsidRPr="00477942" w:rsidRDefault="004D69A0" w:rsidP="00CF3F12">
      <w:pPr>
        <w:spacing w:after="0" w:line="240" w:lineRule="auto"/>
        <w:rPr>
          <w:rFonts w:eastAsia="Times New Roman" w:cs="Times New Roman"/>
          <w:kern w:val="0"/>
          <w:lang w:eastAsia="en-GB"/>
          <w14:ligatures w14:val="none"/>
        </w:rPr>
      </w:pPr>
    </w:p>
    <w:p w14:paraId="3D8B7AD4" w14:textId="77777777" w:rsidR="004D69A0" w:rsidRDefault="004D69A0" w:rsidP="00CF3F12">
      <w:pPr>
        <w:spacing w:after="0" w:line="240" w:lineRule="auto"/>
        <w:rPr>
          <w:rFonts w:eastAsia="Times New Roman" w:cs="Times New Roman"/>
          <w:kern w:val="0"/>
          <w:lang w:eastAsia="en-GB"/>
          <w14:ligatures w14:val="none"/>
        </w:rPr>
      </w:pPr>
      <w:r w:rsidRPr="00477942">
        <w:rPr>
          <w:rFonts w:eastAsia="Times New Roman" w:cs="Calibri"/>
          <w:kern w:val="0"/>
          <w:lang w:eastAsia="en-GB"/>
          <w14:ligatures w14:val="none"/>
        </w:rPr>
        <w:t>Additional activities carried out by Cambridgeshire Community Services have included, in 2024 CCS redesigned the GCP2 tab on their clinical recording system to be a neglect tab. This tab has various tools on it including GCP2, neglect screening tool, obesity screening tool as well as links to the clutter scales and fire safety assessments. It is hoped this tab will help support practitioners when they have a neglect concern to identify tools to support their assessment of this and a place to review and analyse the concerns</w:t>
      </w:r>
      <w:r w:rsidRPr="00477942">
        <w:rPr>
          <w:rFonts w:eastAsia="Times New Roman" w:cs="Times New Roman"/>
          <w:kern w:val="0"/>
          <w:lang w:eastAsia="en-GB"/>
          <w14:ligatures w14:val="none"/>
        </w:rPr>
        <w:t>.</w:t>
      </w:r>
    </w:p>
    <w:p w14:paraId="275213A2" w14:textId="77777777" w:rsidR="00096E0B" w:rsidRDefault="00096E0B" w:rsidP="004D69A0">
      <w:pPr>
        <w:spacing w:after="0" w:line="240" w:lineRule="auto"/>
        <w:jc w:val="both"/>
        <w:rPr>
          <w:rFonts w:eastAsia="Times New Roman" w:cs="Times New Roman"/>
          <w:kern w:val="0"/>
          <w:lang w:eastAsia="en-GB"/>
          <w14:ligatures w14:val="none"/>
        </w:rPr>
      </w:pPr>
    </w:p>
    <w:p w14:paraId="1D6913A8" w14:textId="3B301B34" w:rsidR="00096E0B" w:rsidRPr="00062194" w:rsidRDefault="00F34D0B" w:rsidP="004D69A0">
      <w:pPr>
        <w:spacing w:after="0" w:line="240" w:lineRule="auto"/>
        <w:jc w:val="both"/>
        <w:rPr>
          <w:rFonts w:eastAsia="Times New Roman" w:cs="Times New Roman"/>
          <w:b/>
          <w:bCs/>
          <w:kern w:val="0"/>
          <w:lang w:eastAsia="en-GB"/>
          <w14:ligatures w14:val="none"/>
        </w:rPr>
      </w:pPr>
      <w:r w:rsidRPr="00062194">
        <w:rPr>
          <w:rFonts w:eastAsia="Times New Roman" w:cs="Times New Roman"/>
          <w:b/>
          <w:bCs/>
          <w:kern w:val="0"/>
          <w:lang w:eastAsia="en-GB"/>
          <w14:ligatures w14:val="none"/>
        </w:rPr>
        <w:t>Graded Care Profiles:</w:t>
      </w:r>
    </w:p>
    <w:tbl>
      <w:tblPr>
        <w:tblW w:w="5000" w:type="pct"/>
        <w:tblCellMar>
          <w:left w:w="0" w:type="dxa"/>
          <w:right w:w="0" w:type="dxa"/>
        </w:tblCellMar>
        <w:tblLook w:val="04A0" w:firstRow="1" w:lastRow="0" w:firstColumn="1" w:lastColumn="0" w:noHBand="0" w:noVBand="1"/>
      </w:tblPr>
      <w:tblGrid>
        <w:gridCol w:w="3078"/>
        <w:gridCol w:w="989"/>
        <w:gridCol w:w="989"/>
        <w:gridCol w:w="989"/>
        <w:gridCol w:w="989"/>
        <w:gridCol w:w="989"/>
        <w:gridCol w:w="983"/>
      </w:tblGrid>
      <w:tr w:rsidR="00F34D0B" w:rsidRPr="00197936" w14:paraId="6F2AAC8F" w14:textId="77777777" w:rsidTr="00F34D0B">
        <w:trPr>
          <w:trHeight w:val="215"/>
        </w:trPr>
        <w:tc>
          <w:tcPr>
            <w:tcW w:w="1709" w:type="pct"/>
            <w:tcBorders>
              <w:top w:val="single" w:sz="8" w:space="0" w:color="auto"/>
              <w:left w:val="single" w:sz="8" w:space="0" w:color="auto"/>
              <w:bottom w:val="single" w:sz="8" w:space="0" w:color="auto"/>
              <w:right w:val="single" w:sz="8" w:space="0" w:color="auto"/>
            </w:tcBorders>
            <w:shd w:val="clear" w:color="auto" w:fill="3A7C22" w:themeFill="accent6" w:themeFillShade="BF"/>
            <w:tcMar>
              <w:top w:w="0" w:type="dxa"/>
              <w:left w:w="108" w:type="dxa"/>
              <w:bottom w:w="0" w:type="dxa"/>
              <w:right w:w="108" w:type="dxa"/>
            </w:tcMar>
            <w:hideMark/>
          </w:tcPr>
          <w:p w14:paraId="62DACC62" w14:textId="77777777" w:rsidR="00F34D0B" w:rsidRPr="00197936" w:rsidRDefault="00F34D0B" w:rsidP="00AA3AF7">
            <w:pPr>
              <w:rPr>
                <w:rFonts w:cstheme="minorHAnsi"/>
                <w:sz w:val="22"/>
                <w:szCs w:val="22"/>
              </w:rPr>
            </w:pPr>
            <w:bookmarkStart w:id="3" w:name="_Hlk135409240"/>
            <w:r w:rsidRPr="00197936">
              <w:rPr>
                <w:rFonts w:cstheme="minorHAnsi"/>
                <w:b/>
                <w:bCs/>
                <w:color w:val="000000"/>
                <w:sz w:val="22"/>
                <w:szCs w:val="22"/>
              </w:rPr>
              <w:t>GCP2 completions by agency</w:t>
            </w:r>
          </w:p>
        </w:tc>
        <w:tc>
          <w:tcPr>
            <w:tcW w:w="549" w:type="pct"/>
            <w:tcBorders>
              <w:top w:val="single" w:sz="8" w:space="0" w:color="auto"/>
              <w:left w:val="single" w:sz="8" w:space="0" w:color="auto"/>
              <w:bottom w:val="single" w:sz="8" w:space="0" w:color="auto"/>
              <w:right w:val="single" w:sz="8" w:space="0" w:color="auto"/>
            </w:tcBorders>
            <w:shd w:val="clear" w:color="auto" w:fill="3A7C22" w:themeFill="accent6" w:themeFillShade="BF"/>
          </w:tcPr>
          <w:p w14:paraId="761187F8" w14:textId="712A9C2C" w:rsidR="00F34D0B" w:rsidRDefault="00F34D0B" w:rsidP="00AA3AF7">
            <w:pPr>
              <w:jc w:val="center"/>
              <w:rPr>
                <w:rFonts w:cstheme="minorHAnsi"/>
                <w:b/>
                <w:bCs/>
                <w:color w:val="000000"/>
                <w:sz w:val="22"/>
                <w:szCs w:val="22"/>
              </w:rPr>
            </w:pPr>
            <w:r>
              <w:rPr>
                <w:rFonts w:cstheme="minorHAnsi"/>
                <w:b/>
                <w:bCs/>
                <w:color w:val="000000"/>
                <w:sz w:val="22"/>
                <w:szCs w:val="22"/>
              </w:rPr>
              <w:t>2024-25</w:t>
            </w:r>
          </w:p>
        </w:tc>
        <w:tc>
          <w:tcPr>
            <w:tcW w:w="549" w:type="pct"/>
            <w:tcBorders>
              <w:top w:val="single" w:sz="8" w:space="0" w:color="auto"/>
              <w:left w:val="single" w:sz="8" w:space="0" w:color="auto"/>
              <w:bottom w:val="single" w:sz="8" w:space="0" w:color="auto"/>
              <w:right w:val="single" w:sz="8" w:space="0" w:color="auto"/>
            </w:tcBorders>
            <w:shd w:val="clear" w:color="auto" w:fill="3A7C22" w:themeFill="accent6" w:themeFillShade="BF"/>
          </w:tcPr>
          <w:p w14:paraId="7EDFC67B" w14:textId="278D62BC" w:rsidR="00F34D0B" w:rsidRPr="00197936" w:rsidRDefault="00F34D0B" w:rsidP="00AA3AF7">
            <w:pPr>
              <w:jc w:val="center"/>
              <w:rPr>
                <w:rFonts w:cstheme="minorHAnsi"/>
                <w:b/>
                <w:bCs/>
                <w:color w:val="000000"/>
                <w:sz w:val="22"/>
                <w:szCs w:val="22"/>
              </w:rPr>
            </w:pPr>
            <w:r>
              <w:rPr>
                <w:rFonts w:cstheme="minorHAnsi"/>
                <w:b/>
                <w:bCs/>
                <w:color w:val="000000"/>
                <w:sz w:val="22"/>
                <w:szCs w:val="22"/>
              </w:rPr>
              <w:t>2023-24</w:t>
            </w:r>
          </w:p>
        </w:tc>
        <w:tc>
          <w:tcPr>
            <w:tcW w:w="549" w:type="pct"/>
            <w:tcBorders>
              <w:top w:val="single" w:sz="8" w:space="0" w:color="auto"/>
              <w:left w:val="single" w:sz="8" w:space="0" w:color="auto"/>
              <w:bottom w:val="single" w:sz="8" w:space="0" w:color="auto"/>
              <w:right w:val="single" w:sz="8" w:space="0" w:color="auto"/>
            </w:tcBorders>
            <w:shd w:val="clear" w:color="auto" w:fill="3A7C22" w:themeFill="accent6" w:themeFillShade="BF"/>
            <w:tcMar>
              <w:top w:w="0" w:type="dxa"/>
              <w:left w:w="108" w:type="dxa"/>
              <w:bottom w:w="0" w:type="dxa"/>
              <w:right w:w="108" w:type="dxa"/>
            </w:tcMar>
            <w:hideMark/>
          </w:tcPr>
          <w:p w14:paraId="69CE58B0" w14:textId="77777777" w:rsidR="00F34D0B" w:rsidRPr="00197936" w:rsidRDefault="00F34D0B" w:rsidP="00AA3AF7">
            <w:pPr>
              <w:jc w:val="center"/>
              <w:rPr>
                <w:rFonts w:cstheme="minorHAnsi"/>
                <w:sz w:val="22"/>
                <w:szCs w:val="22"/>
              </w:rPr>
            </w:pPr>
            <w:r>
              <w:rPr>
                <w:rFonts w:cstheme="minorHAnsi"/>
                <w:b/>
                <w:bCs/>
                <w:color w:val="000000"/>
                <w:sz w:val="22"/>
                <w:szCs w:val="22"/>
              </w:rPr>
              <w:t>2022-23</w:t>
            </w:r>
          </w:p>
        </w:tc>
        <w:tc>
          <w:tcPr>
            <w:tcW w:w="549" w:type="pct"/>
            <w:tcBorders>
              <w:top w:val="single" w:sz="8" w:space="0" w:color="auto"/>
              <w:left w:val="nil"/>
              <w:bottom w:val="single" w:sz="8" w:space="0" w:color="auto"/>
              <w:right w:val="single" w:sz="8" w:space="0" w:color="auto"/>
            </w:tcBorders>
            <w:shd w:val="clear" w:color="auto" w:fill="3A7C22" w:themeFill="accent6" w:themeFillShade="BF"/>
            <w:tcMar>
              <w:top w:w="0" w:type="dxa"/>
              <w:left w:w="108" w:type="dxa"/>
              <w:bottom w:w="0" w:type="dxa"/>
              <w:right w:w="108" w:type="dxa"/>
            </w:tcMar>
            <w:hideMark/>
          </w:tcPr>
          <w:p w14:paraId="2C2D4975" w14:textId="77777777" w:rsidR="00F34D0B" w:rsidRPr="00197936" w:rsidRDefault="00F34D0B" w:rsidP="00AA3AF7">
            <w:pPr>
              <w:jc w:val="center"/>
              <w:rPr>
                <w:rFonts w:cstheme="minorHAnsi"/>
                <w:sz w:val="22"/>
                <w:szCs w:val="22"/>
              </w:rPr>
            </w:pPr>
            <w:r w:rsidRPr="00197936">
              <w:rPr>
                <w:rFonts w:cstheme="minorHAnsi"/>
                <w:b/>
                <w:bCs/>
                <w:color w:val="000000"/>
                <w:sz w:val="22"/>
                <w:szCs w:val="22"/>
              </w:rPr>
              <w:t>2021-22</w:t>
            </w:r>
          </w:p>
        </w:tc>
        <w:tc>
          <w:tcPr>
            <w:tcW w:w="549" w:type="pct"/>
            <w:tcBorders>
              <w:top w:val="single" w:sz="8" w:space="0" w:color="auto"/>
              <w:left w:val="nil"/>
              <w:bottom w:val="single" w:sz="8" w:space="0" w:color="auto"/>
              <w:right w:val="single" w:sz="8" w:space="0" w:color="auto"/>
            </w:tcBorders>
            <w:shd w:val="clear" w:color="auto" w:fill="3A7C22" w:themeFill="accent6" w:themeFillShade="BF"/>
            <w:tcMar>
              <w:top w:w="0" w:type="dxa"/>
              <w:left w:w="108" w:type="dxa"/>
              <w:bottom w:w="0" w:type="dxa"/>
              <w:right w:w="108" w:type="dxa"/>
            </w:tcMar>
            <w:hideMark/>
          </w:tcPr>
          <w:p w14:paraId="6067C819" w14:textId="77777777" w:rsidR="00F34D0B" w:rsidRPr="00197936" w:rsidRDefault="00F34D0B" w:rsidP="00AA3AF7">
            <w:pPr>
              <w:jc w:val="center"/>
              <w:rPr>
                <w:rFonts w:cstheme="minorHAnsi"/>
                <w:sz w:val="22"/>
                <w:szCs w:val="22"/>
              </w:rPr>
            </w:pPr>
            <w:r w:rsidRPr="00197936">
              <w:rPr>
                <w:rFonts w:cstheme="minorHAnsi"/>
                <w:b/>
                <w:bCs/>
                <w:color w:val="000000"/>
                <w:sz w:val="22"/>
                <w:szCs w:val="22"/>
              </w:rPr>
              <w:t>2020-21</w:t>
            </w:r>
          </w:p>
        </w:tc>
        <w:tc>
          <w:tcPr>
            <w:tcW w:w="546" w:type="pct"/>
            <w:tcBorders>
              <w:top w:val="single" w:sz="8" w:space="0" w:color="auto"/>
              <w:left w:val="nil"/>
              <w:bottom w:val="single" w:sz="8" w:space="0" w:color="auto"/>
              <w:right w:val="single" w:sz="8" w:space="0" w:color="auto"/>
            </w:tcBorders>
            <w:shd w:val="clear" w:color="auto" w:fill="3A7C22" w:themeFill="accent6" w:themeFillShade="BF"/>
            <w:tcMar>
              <w:top w:w="0" w:type="dxa"/>
              <w:left w:w="108" w:type="dxa"/>
              <w:bottom w:w="0" w:type="dxa"/>
              <w:right w:w="108" w:type="dxa"/>
            </w:tcMar>
            <w:hideMark/>
          </w:tcPr>
          <w:p w14:paraId="08744293" w14:textId="77777777" w:rsidR="00F34D0B" w:rsidRPr="00197936" w:rsidRDefault="00F34D0B" w:rsidP="00AA3AF7">
            <w:pPr>
              <w:jc w:val="center"/>
              <w:rPr>
                <w:rFonts w:cstheme="minorHAnsi"/>
                <w:sz w:val="22"/>
                <w:szCs w:val="22"/>
              </w:rPr>
            </w:pPr>
            <w:r w:rsidRPr="00197936">
              <w:rPr>
                <w:rFonts w:cstheme="minorHAnsi"/>
                <w:b/>
                <w:bCs/>
                <w:color w:val="000000"/>
                <w:sz w:val="22"/>
                <w:szCs w:val="22"/>
              </w:rPr>
              <w:t>2019-20</w:t>
            </w:r>
          </w:p>
        </w:tc>
      </w:tr>
      <w:tr w:rsidR="00F34D0B" w:rsidRPr="00197936" w14:paraId="5C5CBB4E" w14:textId="77777777" w:rsidTr="00F34D0B">
        <w:trPr>
          <w:trHeight w:val="215"/>
        </w:trPr>
        <w:tc>
          <w:tcPr>
            <w:tcW w:w="1709" w:type="pct"/>
            <w:tcBorders>
              <w:top w:val="nil"/>
              <w:left w:val="single" w:sz="8" w:space="0" w:color="auto"/>
              <w:bottom w:val="single" w:sz="8" w:space="0" w:color="auto"/>
              <w:right w:val="single" w:sz="8" w:space="0" w:color="auto"/>
            </w:tcBorders>
            <w:shd w:val="clear" w:color="auto" w:fill="D9F2D0" w:themeFill="accent6" w:themeFillTint="33"/>
            <w:tcMar>
              <w:top w:w="0" w:type="dxa"/>
              <w:left w:w="108" w:type="dxa"/>
              <w:bottom w:w="0" w:type="dxa"/>
              <w:right w:w="108" w:type="dxa"/>
            </w:tcMar>
            <w:hideMark/>
          </w:tcPr>
          <w:p w14:paraId="532ADBC4" w14:textId="77777777" w:rsidR="00F34D0B" w:rsidRPr="00197936" w:rsidRDefault="00F34D0B" w:rsidP="00AA3AF7">
            <w:pPr>
              <w:rPr>
                <w:rFonts w:cstheme="minorHAnsi"/>
                <w:sz w:val="22"/>
                <w:szCs w:val="22"/>
              </w:rPr>
            </w:pPr>
            <w:r w:rsidRPr="00197936">
              <w:rPr>
                <w:rFonts w:cstheme="minorHAnsi"/>
                <w:color w:val="000000"/>
                <w:sz w:val="22"/>
                <w:szCs w:val="22"/>
              </w:rPr>
              <w:t>Children’s Services</w:t>
            </w:r>
          </w:p>
        </w:tc>
        <w:tc>
          <w:tcPr>
            <w:tcW w:w="549" w:type="pct"/>
            <w:tcBorders>
              <w:top w:val="single" w:sz="8" w:space="0" w:color="auto"/>
              <w:left w:val="single" w:sz="8" w:space="0" w:color="auto"/>
              <w:bottom w:val="single" w:sz="8" w:space="0" w:color="auto"/>
              <w:right w:val="single" w:sz="8" w:space="0" w:color="auto"/>
            </w:tcBorders>
          </w:tcPr>
          <w:p w14:paraId="578A04B7" w14:textId="12D81AD9" w:rsidR="00F34D0B" w:rsidRDefault="00177657" w:rsidP="00AA3AF7">
            <w:pPr>
              <w:jc w:val="center"/>
              <w:rPr>
                <w:rFonts w:cstheme="minorHAnsi"/>
                <w:sz w:val="22"/>
                <w:szCs w:val="22"/>
              </w:rPr>
            </w:pPr>
            <w:r>
              <w:rPr>
                <w:rFonts w:cstheme="minorHAnsi"/>
                <w:sz w:val="22"/>
                <w:szCs w:val="22"/>
              </w:rPr>
              <w:t>109</w:t>
            </w:r>
          </w:p>
        </w:tc>
        <w:tc>
          <w:tcPr>
            <w:tcW w:w="549" w:type="pct"/>
            <w:tcBorders>
              <w:top w:val="single" w:sz="8" w:space="0" w:color="auto"/>
              <w:left w:val="single" w:sz="8" w:space="0" w:color="auto"/>
              <w:bottom w:val="single" w:sz="8" w:space="0" w:color="auto"/>
              <w:right w:val="single" w:sz="8" w:space="0" w:color="auto"/>
            </w:tcBorders>
          </w:tcPr>
          <w:p w14:paraId="2E3DC4BF" w14:textId="22D81AD4" w:rsidR="00F34D0B" w:rsidRPr="00197936" w:rsidRDefault="00F34D0B" w:rsidP="00AA3AF7">
            <w:pPr>
              <w:jc w:val="center"/>
              <w:rPr>
                <w:rFonts w:cstheme="minorHAnsi"/>
                <w:sz w:val="22"/>
                <w:szCs w:val="22"/>
              </w:rPr>
            </w:pPr>
            <w:r>
              <w:rPr>
                <w:rFonts w:cstheme="minorHAnsi"/>
                <w:sz w:val="22"/>
                <w:szCs w:val="22"/>
              </w:rPr>
              <w:t>1</w:t>
            </w:r>
            <w:r>
              <w:rPr>
                <w:rFonts w:cstheme="minorHAnsi"/>
              </w:rPr>
              <w:t>05</w:t>
            </w:r>
          </w:p>
        </w:tc>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B1A55D" w14:textId="77777777" w:rsidR="00F34D0B" w:rsidRPr="00197936" w:rsidRDefault="00F34D0B" w:rsidP="00AA3AF7">
            <w:pPr>
              <w:jc w:val="center"/>
              <w:rPr>
                <w:rFonts w:cstheme="minorHAnsi"/>
                <w:sz w:val="22"/>
                <w:szCs w:val="22"/>
              </w:rPr>
            </w:pPr>
            <w:r>
              <w:rPr>
                <w:rFonts w:cstheme="minorHAnsi"/>
                <w:sz w:val="22"/>
                <w:szCs w:val="22"/>
              </w:rPr>
              <w:t>24</w:t>
            </w:r>
          </w:p>
        </w:tc>
        <w:tc>
          <w:tcPr>
            <w:tcW w:w="549" w:type="pct"/>
            <w:tcBorders>
              <w:top w:val="nil"/>
              <w:left w:val="nil"/>
              <w:bottom w:val="single" w:sz="8" w:space="0" w:color="auto"/>
              <w:right w:val="single" w:sz="8" w:space="0" w:color="auto"/>
            </w:tcBorders>
            <w:tcMar>
              <w:top w:w="0" w:type="dxa"/>
              <w:left w:w="108" w:type="dxa"/>
              <w:bottom w:w="0" w:type="dxa"/>
              <w:right w:w="108" w:type="dxa"/>
            </w:tcMar>
          </w:tcPr>
          <w:p w14:paraId="44218952" w14:textId="77777777" w:rsidR="00F34D0B" w:rsidRPr="00197936" w:rsidRDefault="00F34D0B" w:rsidP="00AA3AF7">
            <w:pPr>
              <w:jc w:val="center"/>
              <w:rPr>
                <w:rFonts w:cstheme="minorHAnsi"/>
                <w:sz w:val="22"/>
                <w:szCs w:val="22"/>
              </w:rPr>
            </w:pPr>
            <w:r w:rsidRPr="00197936">
              <w:rPr>
                <w:rFonts w:cstheme="minorHAnsi"/>
                <w:sz w:val="22"/>
                <w:szCs w:val="22"/>
              </w:rPr>
              <w:t>38</w:t>
            </w:r>
          </w:p>
        </w:tc>
        <w:tc>
          <w:tcPr>
            <w:tcW w:w="549" w:type="pct"/>
            <w:tcBorders>
              <w:top w:val="nil"/>
              <w:left w:val="nil"/>
              <w:bottom w:val="single" w:sz="8" w:space="0" w:color="auto"/>
              <w:right w:val="single" w:sz="8" w:space="0" w:color="auto"/>
            </w:tcBorders>
            <w:tcMar>
              <w:top w:w="0" w:type="dxa"/>
              <w:left w:w="108" w:type="dxa"/>
              <w:bottom w:w="0" w:type="dxa"/>
              <w:right w:w="108" w:type="dxa"/>
            </w:tcMar>
          </w:tcPr>
          <w:p w14:paraId="559DF2E4" w14:textId="77777777" w:rsidR="00F34D0B" w:rsidRPr="00197936" w:rsidRDefault="00F34D0B" w:rsidP="00AA3AF7">
            <w:pPr>
              <w:jc w:val="center"/>
              <w:rPr>
                <w:rFonts w:cstheme="minorHAnsi"/>
                <w:sz w:val="22"/>
                <w:szCs w:val="22"/>
              </w:rPr>
            </w:pPr>
            <w:r w:rsidRPr="00197936">
              <w:rPr>
                <w:rFonts w:cstheme="minorHAnsi"/>
                <w:sz w:val="22"/>
                <w:szCs w:val="22"/>
              </w:rPr>
              <w:t>12</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277C0872" w14:textId="77777777" w:rsidR="00F34D0B" w:rsidRPr="00197936" w:rsidRDefault="00F34D0B" w:rsidP="00AA3AF7">
            <w:pPr>
              <w:jc w:val="center"/>
              <w:rPr>
                <w:rFonts w:cstheme="minorHAnsi"/>
                <w:sz w:val="22"/>
                <w:szCs w:val="22"/>
              </w:rPr>
            </w:pPr>
            <w:r w:rsidRPr="00197936">
              <w:rPr>
                <w:rFonts w:cstheme="minorHAnsi"/>
                <w:sz w:val="22"/>
                <w:szCs w:val="22"/>
              </w:rPr>
              <w:t>10</w:t>
            </w:r>
          </w:p>
        </w:tc>
      </w:tr>
      <w:tr w:rsidR="00F34D0B" w:rsidRPr="00197936" w14:paraId="3FA3F06C" w14:textId="77777777" w:rsidTr="00F34D0B">
        <w:trPr>
          <w:trHeight w:val="215"/>
        </w:trPr>
        <w:tc>
          <w:tcPr>
            <w:tcW w:w="1709" w:type="pct"/>
            <w:tcBorders>
              <w:top w:val="nil"/>
              <w:left w:val="single" w:sz="8" w:space="0" w:color="auto"/>
              <w:bottom w:val="single" w:sz="8" w:space="0" w:color="auto"/>
              <w:right w:val="single" w:sz="8" w:space="0" w:color="auto"/>
            </w:tcBorders>
            <w:shd w:val="clear" w:color="auto" w:fill="D9F2D0" w:themeFill="accent6" w:themeFillTint="33"/>
            <w:tcMar>
              <w:top w:w="0" w:type="dxa"/>
              <w:left w:w="108" w:type="dxa"/>
              <w:bottom w:w="0" w:type="dxa"/>
              <w:right w:w="108" w:type="dxa"/>
            </w:tcMar>
            <w:hideMark/>
          </w:tcPr>
          <w:p w14:paraId="6C8A7A85" w14:textId="77777777" w:rsidR="00F34D0B" w:rsidRPr="00197936" w:rsidRDefault="00F34D0B" w:rsidP="00AA3AF7">
            <w:pPr>
              <w:rPr>
                <w:rFonts w:eastAsiaTheme="minorEastAsia"/>
                <w:sz w:val="22"/>
                <w:szCs w:val="22"/>
              </w:rPr>
            </w:pPr>
            <w:r w:rsidRPr="2E7B5785">
              <w:rPr>
                <w:rFonts w:eastAsiaTheme="minorEastAsia"/>
                <w:color w:val="000000" w:themeColor="text1"/>
                <w:sz w:val="22"/>
                <w:szCs w:val="22"/>
              </w:rPr>
              <w:t>Cambridge Community Services</w:t>
            </w:r>
          </w:p>
        </w:tc>
        <w:tc>
          <w:tcPr>
            <w:tcW w:w="549" w:type="pct"/>
            <w:tcBorders>
              <w:top w:val="single" w:sz="8" w:space="0" w:color="auto"/>
              <w:left w:val="single" w:sz="8" w:space="0" w:color="auto"/>
              <w:bottom w:val="single" w:sz="8" w:space="0" w:color="auto"/>
              <w:right w:val="single" w:sz="8" w:space="0" w:color="auto"/>
            </w:tcBorders>
          </w:tcPr>
          <w:p w14:paraId="03EBE4B8" w14:textId="107E5C35" w:rsidR="00F34D0B" w:rsidRDefault="006C78B1" w:rsidP="00AA3AF7">
            <w:pPr>
              <w:jc w:val="center"/>
              <w:rPr>
                <w:rFonts w:ascii="Calibri" w:eastAsia="Calibri" w:hAnsi="Calibri" w:cs="Calibri"/>
                <w:sz w:val="22"/>
                <w:szCs w:val="22"/>
              </w:rPr>
            </w:pPr>
            <w:r>
              <w:rPr>
                <w:rFonts w:ascii="Calibri" w:eastAsia="Calibri" w:hAnsi="Calibri" w:cs="Calibri"/>
                <w:sz w:val="22"/>
                <w:szCs w:val="22"/>
              </w:rPr>
              <w:t>13</w:t>
            </w:r>
          </w:p>
        </w:tc>
        <w:tc>
          <w:tcPr>
            <w:tcW w:w="549" w:type="pct"/>
            <w:tcBorders>
              <w:top w:val="single" w:sz="8" w:space="0" w:color="auto"/>
              <w:left w:val="single" w:sz="8" w:space="0" w:color="auto"/>
              <w:bottom w:val="single" w:sz="8" w:space="0" w:color="auto"/>
              <w:right w:val="single" w:sz="8" w:space="0" w:color="auto"/>
            </w:tcBorders>
          </w:tcPr>
          <w:p w14:paraId="178B42B2" w14:textId="7B40E707" w:rsidR="00F34D0B" w:rsidRPr="2E7B5785" w:rsidRDefault="00F34D0B" w:rsidP="00AA3AF7">
            <w:pPr>
              <w:jc w:val="center"/>
              <w:rPr>
                <w:rFonts w:ascii="Calibri" w:eastAsia="Calibri" w:hAnsi="Calibri" w:cs="Calibri"/>
                <w:sz w:val="22"/>
                <w:szCs w:val="22"/>
              </w:rPr>
            </w:pPr>
            <w:r>
              <w:rPr>
                <w:rFonts w:ascii="Calibri" w:eastAsia="Calibri" w:hAnsi="Calibri" w:cs="Calibri"/>
                <w:sz w:val="22"/>
                <w:szCs w:val="22"/>
              </w:rPr>
              <w:t>10</w:t>
            </w:r>
          </w:p>
        </w:tc>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8A5C3D" w14:textId="77777777" w:rsidR="00F34D0B" w:rsidRPr="00197936" w:rsidRDefault="00F34D0B" w:rsidP="00AA3AF7">
            <w:pPr>
              <w:jc w:val="center"/>
              <w:rPr>
                <w:rFonts w:ascii="Calibri" w:eastAsia="Calibri" w:hAnsi="Calibri" w:cs="Calibri"/>
                <w:sz w:val="22"/>
                <w:szCs w:val="22"/>
              </w:rPr>
            </w:pPr>
            <w:r>
              <w:rPr>
                <w:rFonts w:ascii="Calibri" w:eastAsia="Calibri" w:hAnsi="Calibri" w:cs="Calibri"/>
                <w:sz w:val="22"/>
                <w:szCs w:val="22"/>
              </w:rPr>
              <w:t>12</w:t>
            </w:r>
          </w:p>
        </w:tc>
        <w:tc>
          <w:tcPr>
            <w:tcW w:w="549" w:type="pct"/>
            <w:tcBorders>
              <w:top w:val="nil"/>
              <w:left w:val="nil"/>
              <w:bottom w:val="single" w:sz="8" w:space="0" w:color="auto"/>
              <w:right w:val="single" w:sz="8" w:space="0" w:color="auto"/>
            </w:tcBorders>
            <w:tcMar>
              <w:top w:w="0" w:type="dxa"/>
              <w:left w:w="108" w:type="dxa"/>
              <w:bottom w:w="0" w:type="dxa"/>
              <w:right w:w="108" w:type="dxa"/>
            </w:tcMar>
          </w:tcPr>
          <w:p w14:paraId="5B016521" w14:textId="77777777" w:rsidR="00F34D0B" w:rsidRPr="00197936" w:rsidRDefault="00F34D0B" w:rsidP="00AA3AF7">
            <w:pPr>
              <w:jc w:val="center"/>
              <w:rPr>
                <w:rFonts w:ascii="Calibri" w:eastAsia="Calibri" w:hAnsi="Calibri" w:cs="Calibri"/>
                <w:sz w:val="22"/>
                <w:szCs w:val="22"/>
              </w:rPr>
            </w:pPr>
            <w:r w:rsidRPr="2E7B5785">
              <w:rPr>
                <w:rFonts w:ascii="Calibri" w:eastAsia="Calibri" w:hAnsi="Calibri" w:cs="Calibri"/>
                <w:sz w:val="22"/>
                <w:szCs w:val="22"/>
              </w:rPr>
              <w:t>37</w:t>
            </w:r>
          </w:p>
        </w:tc>
        <w:tc>
          <w:tcPr>
            <w:tcW w:w="549" w:type="pct"/>
            <w:tcBorders>
              <w:top w:val="nil"/>
              <w:left w:val="nil"/>
              <w:bottom w:val="single" w:sz="8" w:space="0" w:color="auto"/>
              <w:right w:val="single" w:sz="8" w:space="0" w:color="auto"/>
            </w:tcBorders>
            <w:tcMar>
              <w:top w:w="0" w:type="dxa"/>
              <w:left w:w="108" w:type="dxa"/>
              <w:bottom w:w="0" w:type="dxa"/>
              <w:right w:w="108" w:type="dxa"/>
            </w:tcMar>
          </w:tcPr>
          <w:p w14:paraId="5F917C14" w14:textId="77777777" w:rsidR="00F34D0B" w:rsidRPr="00197936" w:rsidRDefault="00F34D0B" w:rsidP="00AA3AF7">
            <w:pPr>
              <w:jc w:val="center"/>
              <w:rPr>
                <w:rFonts w:ascii="Calibri" w:eastAsia="Calibri" w:hAnsi="Calibri" w:cs="Calibri"/>
                <w:sz w:val="22"/>
                <w:szCs w:val="22"/>
              </w:rPr>
            </w:pPr>
            <w:r w:rsidRPr="2E7B5785">
              <w:rPr>
                <w:rFonts w:ascii="Calibri" w:eastAsia="Calibri" w:hAnsi="Calibri" w:cs="Calibri"/>
                <w:sz w:val="22"/>
                <w:szCs w:val="22"/>
              </w:rPr>
              <w:t>15</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6B51E3FA" w14:textId="77777777" w:rsidR="00F34D0B" w:rsidRPr="00197936" w:rsidRDefault="00F34D0B" w:rsidP="00AA3AF7">
            <w:pPr>
              <w:jc w:val="center"/>
              <w:rPr>
                <w:rFonts w:ascii="Calibri" w:eastAsia="Calibri" w:hAnsi="Calibri" w:cs="Calibri"/>
                <w:sz w:val="22"/>
                <w:szCs w:val="22"/>
              </w:rPr>
            </w:pPr>
            <w:r w:rsidRPr="2E7B5785">
              <w:rPr>
                <w:rFonts w:ascii="Calibri" w:eastAsia="Calibri" w:hAnsi="Calibri" w:cs="Calibri"/>
                <w:sz w:val="22"/>
                <w:szCs w:val="22"/>
              </w:rPr>
              <w:t>59</w:t>
            </w:r>
          </w:p>
        </w:tc>
      </w:tr>
      <w:tr w:rsidR="00F34D0B" w:rsidRPr="00197936" w14:paraId="7EE0EB97" w14:textId="77777777" w:rsidTr="00F34D0B">
        <w:trPr>
          <w:trHeight w:val="215"/>
        </w:trPr>
        <w:tc>
          <w:tcPr>
            <w:tcW w:w="1709" w:type="pct"/>
            <w:tcBorders>
              <w:top w:val="nil"/>
              <w:left w:val="single" w:sz="8" w:space="0" w:color="auto"/>
              <w:bottom w:val="single" w:sz="8" w:space="0" w:color="auto"/>
              <w:right w:val="single" w:sz="8" w:space="0" w:color="auto"/>
            </w:tcBorders>
            <w:shd w:val="clear" w:color="auto" w:fill="D9F2D0" w:themeFill="accent6" w:themeFillTint="33"/>
            <w:tcMar>
              <w:top w:w="0" w:type="dxa"/>
              <w:left w:w="108" w:type="dxa"/>
              <w:bottom w:w="0" w:type="dxa"/>
              <w:right w:w="108" w:type="dxa"/>
            </w:tcMar>
            <w:hideMark/>
          </w:tcPr>
          <w:p w14:paraId="0F4B29CB" w14:textId="77777777" w:rsidR="00F34D0B" w:rsidRPr="00197936" w:rsidRDefault="00F34D0B" w:rsidP="00AA3AF7">
            <w:pPr>
              <w:rPr>
                <w:rFonts w:cstheme="minorHAnsi"/>
                <w:sz w:val="22"/>
                <w:szCs w:val="22"/>
              </w:rPr>
            </w:pPr>
            <w:r w:rsidRPr="00197936">
              <w:rPr>
                <w:rFonts w:cstheme="minorHAnsi"/>
                <w:b/>
                <w:bCs/>
                <w:color w:val="000000"/>
                <w:sz w:val="22"/>
                <w:szCs w:val="22"/>
              </w:rPr>
              <w:t>Total</w:t>
            </w:r>
          </w:p>
        </w:tc>
        <w:tc>
          <w:tcPr>
            <w:tcW w:w="549" w:type="pct"/>
            <w:tcBorders>
              <w:top w:val="single" w:sz="8" w:space="0" w:color="auto"/>
              <w:left w:val="single" w:sz="8" w:space="0" w:color="auto"/>
              <w:bottom w:val="single" w:sz="8" w:space="0" w:color="auto"/>
              <w:right w:val="single" w:sz="8" w:space="0" w:color="auto"/>
            </w:tcBorders>
          </w:tcPr>
          <w:p w14:paraId="73BE0B1B" w14:textId="72422631" w:rsidR="00F34D0B" w:rsidRDefault="006C78B1" w:rsidP="00AA3AF7">
            <w:pPr>
              <w:jc w:val="center"/>
              <w:rPr>
                <w:rFonts w:eastAsiaTheme="minorEastAsia"/>
                <w:b/>
                <w:bCs/>
                <w:sz w:val="22"/>
                <w:szCs w:val="22"/>
              </w:rPr>
            </w:pPr>
            <w:r>
              <w:rPr>
                <w:rFonts w:eastAsiaTheme="minorEastAsia"/>
                <w:b/>
                <w:bCs/>
                <w:sz w:val="22"/>
                <w:szCs w:val="22"/>
              </w:rPr>
              <w:t>122</w:t>
            </w:r>
          </w:p>
        </w:tc>
        <w:tc>
          <w:tcPr>
            <w:tcW w:w="549" w:type="pct"/>
            <w:tcBorders>
              <w:top w:val="single" w:sz="8" w:space="0" w:color="auto"/>
              <w:left w:val="single" w:sz="8" w:space="0" w:color="auto"/>
              <w:bottom w:val="single" w:sz="8" w:space="0" w:color="auto"/>
              <w:right w:val="single" w:sz="8" w:space="0" w:color="auto"/>
            </w:tcBorders>
          </w:tcPr>
          <w:p w14:paraId="518EF9F5" w14:textId="125220B9" w:rsidR="00F34D0B" w:rsidRPr="2E7B5785" w:rsidRDefault="00F34D0B" w:rsidP="00AA3AF7">
            <w:pPr>
              <w:jc w:val="center"/>
              <w:rPr>
                <w:rFonts w:eastAsiaTheme="minorEastAsia"/>
                <w:b/>
                <w:bCs/>
                <w:sz w:val="22"/>
                <w:szCs w:val="22"/>
              </w:rPr>
            </w:pPr>
            <w:r>
              <w:rPr>
                <w:rFonts w:eastAsiaTheme="minorEastAsia"/>
                <w:b/>
                <w:bCs/>
                <w:sz w:val="22"/>
                <w:szCs w:val="22"/>
              </w:rPr>
              <w:t>115</w:t>
            </w:r>
          </w:p>
        </w:tc>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80218" w14:textId="77777777" w:rsidR="00F34D0B" w:rsidRPr="00197936" w:rsidRDefault="00F34D0B" w:rsidP="00AA3AF7">
            <w:pPr>
              <w:jc w:val="center"/>
              <w:rPr>
                <w:rFonts w:eastAsiaTheme="minorEastAsia"/>
                <w:b/>
                <w:bCs/>
                <w:sz w:val="22"/>
                <w:szCs w:val="22"/>
              </w:rPr>
            </w:pPr>
            <w:r>
              <w:rPr>
                <w:rFonts w:eastAsiaTheme="minorEastAsia"/>
                <w:b/>
                <w:bCs/>
                <w:sz w:val="22"/>
                <w:szCs w:val="22"/>
              </w:rPr>
              <w:t>36</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3515479C" w14:textId="77777777" w:rsidR="00F34D0B" w:rsidRPr="00197936" w:rsidRDefault="00F34D0B" w:rsidP="00AA3AF7">
            <w:pPr>
              <w:jc w:val="center"/>
              <w:rPr>
                <w:rFonts w:eastAsiaTheme="minorEastAsia"/>
                <w:b/>
                <w:bCs/>
                <w:sz w:val="22"/>
                <w:szCs w:val="22"/>
              </w:rPr>
            </w:pPr>
            <w:r w:rsidRPr="2E7B5785">
              <w:rPr>
                <w:rFonts w:eastAsiaTheme="minorEastAsia"/>
                <w:b/>
                <w:bCs/>
                <w:sz w:val="22"/>
                <w:szCs w:val="22"/>
              </w:rPr>
              <w:t>75</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0C68ECF0" w14:textId="77777777" w:rsidR="00F34D0B" w:rsidRPr="00197936" w:rsidRDefault="00F34D0B" w:rsidP="00AA3AF7">
            <w:pPr>
              <w:jc w:val="center"/>
              <w:rPr>
                <w:rFonts w:eastAsiaTheme="minorEastAsia"/>
                <w:b/>
                <w:bCs/>
                <w:sz w:val="22"/>
                <w:szCs w:val="22"/>
              </w:rPr>
            </w:pPr>
            <w:r w:rsidRPr="2E7B5785">
              <w:rPr>
                <w:rFonts w:eastAsiaTheme="minorEastAsia"/>
                <w:b/>
                <w:bCs/>
                <w:sz w:val="22"/>
                <w:szCs w:val="22"/>
              </w:rPr>
              <w:t>27</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30566EAF" w14:textId="77777777" w:rsidR="00F34D0B" w:rsidRPr="00197936" w:rsidRDefault="00F34D0B" w:rsidP="00AA3AF7">
            <w:pPr>
              <w:jc w:val="center"/>
              <w:rPr>
                <w:rFonts w:eastAsiaTheme="minorEastAsia"/>
                <w:b/>
                <w:bCs/>
                <w:sz w:val="22"/>
                <w:szCs w:val="22"/>
              </w:rPr>
            </w:pPr>
            <w:r w:rsidRPr="2E7B5785">
              <w:rPr>
                <w:rFonts w:eastAsiaTheme="minorEastAsia"/>
                <w:b/>
                <w:bCs/>
                <w:sz w:val="22"/>
                <w:szCs w:val="22"/>
              </w:rPr>
              <w:t>69</w:t>
            </w:r>
          </w:p>
        </w:tc>
      </w:tr>
      <w:bookmarkEnd w:id="3"/>
    </w:tbl>
    <w:p w14:paraId="781603D3" w14:textId="77777777" w:rsidR="0086025E" w:rsidRDefault="0086025E" w:rsidP="004D69A0">
      <w:pPr>
        <w:spacing w:after="0" w:line="240" w:lineRule="auto"/>
        <w:jc w:val="both"/>
        <w:rPr>
          <w:rFonts w:eastAsia="Times New Roman" w:cs="Times New Roman"/>
          <w:kern w:val="0"/>
          <w:lang w:eastAsia="en-GB"/>
          <w14:ligatures w14:val="none"/>
        </w:rPr>
      </w:pPr>
    </w:p>
    <w:p w14:paraId="32C1570D" w14:textId="77777777" w:rsidR="0086025E" w:rsidRDefault="0086025E" w:rsidP="0086025E">
      <w:pPr>
        <w:spacing w:after="0" w:line="240" w:lineRule="auto"/>
        <w:rPr>
          <w:rFonts w:cstheme="minorHAnsi"/>
          <w:b/>
          <w:bCs/>
        </w:rPr>
      </w:pPr>
      <w:r>
        <w:rPr>
          <w:rFonts w:cstheme="minorHAnsi"/>
          <w:b/>
          <w:bCs/>
        </w:rPr>
        <w:t>Section 11 2024:</w:t>
      </w:r>
    </w:p>
    <w:p w14:paraId="3B44EAB9" w14:textId="6AF0CBA5" w:rsidR="0086025E" w:rsidRPr="0086025E" w:rsidRDefault="0086025E" w:rsidP="0086025E">
      <w:pPr>
        <w:spacing w:after="0" w:line="240" w:lineRule="auto"/>
        <w:rPr>
          <w:rFonts w:cstheme="minorHAnsi"/>
          <w:b/>
          <w:bCs/>
        </w:rPr>
      </w:pPr>
      <w:r>
        <w:rPr>
          <w:rFonts w:cstheme="minorHAnsi"/>
        </w:rPr>
        <w:t>In January 2024 the CBSCP Partners took part in a Section 11 Audit and reflective session focusing on neglect. The following partners took part:</w:t>
      </w:r>
    </w:p>
    <w:p w14:paraId="5DED908D" w14:textId="77777777" w:rsidR="0086025E" w:rsidRDefault="0086025E" w:rsidP="0086025E">
      <w:pPr>
        <w:spacing w:after="0" w:line="240" w:lineRule="auto"/>
        <w:rPr>
          <w:rFonts w:cstheme="minorHAnsi"/>
        </w:rPr>
      </w:pPr>
    </w:p>
    <w:p w14:paraId="7DCF46CA" w14:textId="77777777" w:rsidR="0086025E" w:rsidRDefault="0086025E" w:rsidP="00434E82">
      <w:pPr>
        <w:pStyle w:val="ListParagraph"/>
        <w:numPr>
          <w:ilvl w:val="0"/>
          <w:numId w:val="33"/>
        </w:numPr>
        <w:spacing w:after="0" w:line="240" w:lineRule="auto"/>
        <w:rPr>
          <w:rFonts w:cstheme="minorHAnsi"/>
        </w:rPr>
      </w:pPr>
      <w:r>
        <w:rPr>
          <w:rFonts w:cstheme="minorHAnsi"/>
        </w:rPr>
        <w:t>BLMK ICB</w:t>
      </w:r>
    </w:p>
    <w:p w14:paraId="13DB9DDC" w14:textId="77777777" w:rsidR="0086025E" w:rsidRDefault="0086025E" w:rsidP="00434E82">
      <w:pPr>
        <w:pStyle w:val="ListParagraph"/>
        <w:numPr>
          <w:ilvl w:val="0"/>
          <w:numId w:val="33"/>
        </w:numPr>
        <w:spacing w:after="0" w:line="240" w:lineRule="auto"/>
        <w:rPr>
          <w:rFonts w:cstheme="minorHAnsi"/>
        </w:rPr>
      </w:pPr>
      <w:r>
        <w:rPr>
          <w:rFonts w:cstheme="minorHAnsi"/>
        </w:rPr>
        <w:t>Cambridgeshire Community Services</w:t>
      </w:r>
    </w:p>
    <w:p w14:paraId="6B43B8BE" w14:textId="77777777" w:rsidR="0086025E" w:rsidRDefault="0086025E" w:rsidP="00434E82">
      <w:pPr>
        <w:pStyle w:val="ListParagraph"/>
        <w:numPr>
          <w:ilvl w:val="0"/>
          <w:numId w:val="33"/>
        </w:numPr>
        <w:spacing w:after="0" w:line="240" w:lineRule="auto"/>
        <w:rPr>
          <w:rFonts w:cstheme="minorHAnsi"/>
        </w:rPr>
      </w:pPr>
      <w:r>
        <w:rPr>
          <w:rFonts w:cstheme="minorHAnsi"/>
        </w:rPr>
        <w:t xml:space="preserve">East London Foundation Trust </w:t>
      </w:r>
    </w:p>
    <w:p w14:paraId="2013373A" w14:textId="77777777" w:rsidR="0086025E" w:rsidRDefault="0086025E" w:rsidP="00434E82">
      <w:pPr>
        <w:pStyle w:val="ListParagraph"/>
        <w:numPr>
          <w:ilvl w:val="0"/>
          <w:numId w:val="33"/>
        </w:numPr>
        <w:spacing w:after="0" w:line="240" w:lineRule="auto"/>
        <w:rPr>
          <w:rFonts w:cstheme="minorHAnsi"/>
        </w:rPr>
      </w:pPr>
      <w:r>
        <w:rPr>
          <w:rFonts w:cstheme="minorHAnsi"/>
        </w:rPr>
        <w:t>Aquarius – Young people’s drug and alcohol service</w:t>
      </w:r>
    </w:p>
    <w:p w14:paraId="1C3A7C9F" w14:textId="77777777" w:rsidR="0086025E" w:rsidRDefault="0086025E" w:rsidP="00434E82">
      <w:pPr>
        <w:pStyle w:val="ListParagraph"/>
        <w:numPr>
          <w:ilvl w:val="0"/>
          <w:numId w:val="33"/>
        </w:numPr>
        <w:spacing w:after="0" w:line="240" w:lineRule="auto"/>
        <w:rPr>
          <w:rFonts w:cstheme="minorHAnsi"/>
        </w:rPr>
      </w:pPr>
      <w:r>
        <w:rPr>
          <w:rFonts w:cstheme="minorHAnsi"/>
        </w:rPr>
        <w:t xml:space="preserve">Central Bedfordshire Council </w:t>
      </w:r>
    </w:p>
    <w:p w14:paraId="0ACB9D5B" w14:textId="77777777" w:rsidR="0086025E" w:rsidRDefault="0086025E" w:rsidP="00434E82">
      <w:pPr>
        <w:pStyle w:val="ListParagraph"/>
        <w:numPr>
          <w:ilvl w:val="0"/>
          <w:numId w:val="33"/>
        </w:numPr>
        <w:spacing w:after="0" w:line="240" w:lineRule="auto"/>
        <w:rPr>
          <w:rFonts w:cstheme="minorHAnsi"/>
        </w:rPr>
      </w:pPr>
      <w:r>
        <w:rPr>
          <w:rFonts w:cstheme="minorHAnsi"/>
        </w:rPr>
        <w:t>Bedfordshire Police</w:t>
      </w:r>
    </w:p>
    <w:p w14:paraId="40606B60" w14:textId="77777777" w:rsidR="0086025E" w:rsidRDefault="0086025E" w:rsidP="00434E82">
      <w:pPr>
        <w:pStyle w:val="ListParagraph"/>
        <w:numPr>
          <w:ilvl w:val="0"/>
          <w:numId w:val="33"/>
        </w:numPr>
        <w:spacing w:after="0" w:line="240" w:lineRule="auto"/>
        <w:rPr>
          <w:rFonts w:cstheme="minorHAnsi"/>
        </w:rPr>
      </w:pPr>
      <w:r>
        <w:rPr>
          <w:rFonts w:cstheme="minorHAnsi"/>
        </w:rPr>
        <w:t xml:space="preserve">Bedfordshire Hospitals </w:t>
      </w:r>
    </w:p>
    <w:p w14:paraId="4E040802" w14:textId="77777777" w:rsidR="0086025E" w:rsidRDefault="0086025E" w:rsidP="00434E82">
      <w:pPr>
        <w:pStyle w:val="ListParagraph"/>
        <w:numPr>
          <w:ilvl w:val="0"/>
          <w:numId w:val="33"/>
        </w:numPr>
        <w:spacing w:after="0" w:line="240" w:lineRule="auto"/>
        <w:rPr>
          <w:rFonts w:cstheme="minorHAnsi"/>
        </w:rPr>
      </w:pPr>
      <w:r>
        <w:rPr>
          <w:rFonts w:cstheme="minorHAnsi"/>
        </w:rPr>
        <w:t>National Probation Service</w:t>
      </w:r>
    </w:p>
    <w:p w14:paraId="0BB40F2B" w14:textId="77777777" w:rsidR="0086025E" w:rsidRDefault="0086025E" w:rsidP="00434E82">
      <w:pPr>
        <w:pStyle w:val="ListParagraph"/>
        <w:numPr>
          <w:ilvl w:val="0"/>
          <w:numId w:val="33"/>
        </w:numPr>
        <w:spacing w:after="0" w:line="240" w:lineRule="auto"/>
        <w:rPr>
          <w:rFonts w:eastAsia="Aptos" w:cstheme="minorHAnsi"/>
        </w:rPr>
      </w:pPr>
      <w:r>
        <w:rPr>
          <w:rFonts w:cstheme="minorHAnsi"/>
        </w:rPr>
        <w:t>Bedfordshire Youth Offending Service</w:t>
      </w:r>
    </w:p>
    <w:p w14:paraId="15B6A151" w14:textId="77777777" w:rsidR="0086025E" w:rsidRDefault="0086025E" w:rsidP="0086025E">
      <w:pPr>
        <w:spacing w:after="0" w:line="240" w:lineRule="auto"/>
        <w:rPr>
          <w:rFonts w:eastAsia="Aptos" w:cstheme="minorHAnsi"/>
        </w:rPr>
      </w:pPr>
    </w:p>
    <w:p w14:paraId="1A5758D9" w14:textId="349AF1BD" w:rsidR="0086025E" w:rsidRDefault="0086025E" w:rsidP="00CF3F12">
      <w:pPr>
        <w:spacing w:after="0" w:line="240" w:lineRule="auto"/>
        <w:rPr>
          <w:rFonts w:eastAsia="Aptos" w:cstheme="minorHAnsi"/>
        </w:rPr>
      </w:pPr>
      <w:r>
        <w:rPr>
          <w:rFonts w:eastAsia="Aptos" w:cstheme="minorHAnsi"/>
        </w:rPr>
        <w:t>Overall, the partners felt that there was a good response to neglect across the partnership in all areas, however Standard 1 (effective leadership) scored particularly strongly with the majority of agencies scoring good across all areas with some areas of outstanding practice (there only 2 requires improvement scores). Standards 3 (Intervention), 4 (Information sharing), 5 (Service development) and 7 (Interagency working) overall scored well. Standards 2 (Prevention) and 6 (Effective training) were areas where agencies identified more examples where requires improvement were needed. As mentioned, there were some areas that partners had graded outstanding throughout the Section 11 Audit.</w:t>
      </w:r>
    </w:p>
    <w:p w14:paraId="1BE1A677" w14:textId="77777777" w:rsidR="009F7FBA" w:rsidRDefault="009F7FBA" w:rsidP="00CF3F12">
      <w:pPr>
        <w:spacing w:after="0" w:line="240" w:lineRule="auto"/>
        <w:rPr>
          <w:rFonts w:eastAsia="Times New Roman" w:cs="Times New Roman"/>
          <w:kern w:val="0"/>
          <w:lang w:eastAsia="en-GB"/>
          <w14:ligatures w14:val="none"/>
        </w:rPr>
      </w:pPr>
    </w:p>
    <w:p w14:paraId="32C36131" w14:textId="1920126A" w:rsidR="004D69A0" w:rsidRPr="00D1064A" w:rsidRDefault="00E12DA9" w:rsidP="00CF3F12">
      <w:pPr>
        <w:spacing w:after="0" w:line="240" w:lineRule="auto"/>
        <w:rPr>
          <w:rFonts w:eastAsia="Aptos" w:cs="Calibri"/>
          <w:b/>
          <w:bCs/>
        </w:rPr>
      </w:pPr>
      <w:r w:rsidRPr="00563458">
        <w:rPr>
          <w:rFonts w:eastAsia="Aptos" w:cs="Calibri"/>
          <w:b/>
          <w:bCs/>
        </w:rPr>
        <w:t>Multi-agency Neglect Audit 2025:</w:t>
      </w:r>
    </w:p>
    <w:p w14:paraId="18E54FB1" w14:textId="270A1B3C" w:rsidR="0072771F" w:rsidRPr="002D6AB5" w:rsidRDefault="008F5F96" w:rsidP="0072771F">
      <w:pPr>
        <w:spacing w:after="0" w:line="240" w:lineRule="auto"/>
        <w:rPr>
          <w:rFonts w:eastAsia="Aptos" w:cs="Calibri"/>
        </w:rPr>
      </w:pPr>
      <w:r w:rsidRPr="002D6AB5">
        <w:rPr>
          <w:rFonts w:eastAsia="Aptos" w:cs="Calibri"/>
        </w:rPr>
        <w:lastRenderedPageBreak/>
        <w:t xml:space="preserve">A follow-up </w:t>
      </w:r>
      <w:r w:rsidR="00D94A1B" w:rsidRPr="002D6AB5">
        <w:rPr>
          <w:rFonts w:eastAsia="Aptos" w:cs="Calibri"/>
        </w:rPr>
        <w:t xml:space="preserve">multi-agency </w:t>
      </w:r>
      <w:r w:rsidR="00096368" w:rsidRPr="002D6AB5">
        <w:rPr>
          <w:rFonts w:eastAsia="Aptos" w:cs="Calibri"/>
        </w:rPr>
        <w:t>Neglect Audit took place in February 2025</w:t>
      </w:r>
      <w:r w:rsidR="0072771F" w:rsidRPr="002D6AB5">
        <w:rPr>
          <w:rFonts w:eastAsia="Aptos" w:cs="Calibri"/>
        </w:rPr>
        <w:t xml:space="preserve">, the aim of this activity was to seek assurances that understanding and working with neglect is a priority for children in Central Bedfordshire, and that partners were working with families and each other in collaboration. </w:t>
      </w:r>
    </w:p>
    <w:p w14:paraId="3EF654C7" w14:textId="77777777" w:rsidR="002D6AB5" w:rsidRDefault="002D6AB5" w:rsidP="0072771F">
      <w:pPr>
        <w:spacing w:after="0" w:line="240" w:lineRule="auto"/>
        <w:rPr>
          <w:rFonts w:ascii="Calibri" w:eastAsia="Aptos" w:hAnsi="Calibri" w:cs="Calibri"/>
        </w:rPr>
      </w:pPr>
    </w:p>
    <w:p w14:paraId="1EC95EF3" w14:textId="3BFBCE8F" w:rsidR="002D6AB5" w:rsidRPr="002D6AB5" w:rsidRDefault="002D6AB5" w:rsidP="002D6AB5">
      <w:pPr>
        <w:spacing w:after="0" w:line="240" w:lineRule="auto"/>
        <w:rPr>
          <w:rFonts w:eastAsia="Aptos" w:cs="Calibri"/>
        </w:rPr>
      </w:pPr>
      <w:r w:rsidRPr="002D6AB5">
        <w:rPr>
          <w:rFonts w:eastAsia="Aptos" w:cs="Calibri"/>
        </w:rPr>
        <w:t xml:space="preserve">Overall findings were that children were RAG rated Green overall: the work was having a positive impact on families and there were good outcomes for children. 4 children were RAG rated Amber overall: the work evidenced positive trajectories and outcomes, however the impact of neglect needed to be more explicit, and children’s plans needed to be more specific. </w:t>
      </w:r>
    </w:p>
    <w:p w14:paraId="2E4C5FB4" w14:textId="77777777" w:rsidR="002D6AB5" w:rsidRPr="002D6AB5" w:rsidRDefault="002D6AB5" w:rsidP="002D6AB5">
      <w:pPr>
        <w:spacing w:after="0" w:line="240" w:lineRule="auto"/>
        <w:rPr>
          <w:rFonts w:ascii="Calibri" w:eastAsia="Aptos" w:hAnsi="Calibri" w:cs="Calibri"/>
        </w:rPr>
      </w:pPr>
    </w:p>
    <w:p w14:paraId="44FF6B9D" w14:textId="3E2A691C" w:rsidR="002D6AB5" w:rsidRPr="002D6AB5" w:rsidRDefault="002D6AB5" w:rsidP="002D6AB5">
      <w:pPr>
        <w:spacing w:after="0" w:line="240" w:lineRule="auto"/>
        <w:rPr>
          <w:rFonts w:eastAsia="Aptos" w:cs="Calibri"/>
        </w:rPr>
      </w:pPr>
      <w:r w:rsidRPr="002D6AB5">
        <w:rPr>
          <w:rFonts w:eastAsia="Aptos" w:cs="Calibri"/>
        </w:rPr>
        <w:t>Where there were individual professionals’ Red RAG ratings, they related to concerns about the impact of neglect on children’s attendance at school and their attainment, the impact of parental mental health and the need to understand the children’s lived experiences. The deep dive enabled professionals to share further information and the work they had undertaken with the families, which therefore resulted in increased RAG ratings to Amber. All children were safe.</w:t>
      </w:r>
    </w:p>
    <w:p w14:paraId="302EEE80" w14:textId="77777777" w:rsidR="0072771F" w:rsidRPr="002D6AB5" w:rsidRDefault="0072771F" w:rsidP="0072771F">
      <w:pPr>
        <w:spacing w:after="0" w:line="240" w:lineRule="auto"/>
        <w:rPr>
          <w:rFonts w:eastAsia="Aptos" w:cs="Calibri"/>
        </w:rPr>
      </w:pPr>
    </w:p>
    <w:p w14:paraId="17FAE482" w14:textId="13807CFE" w:rsidR="00E12DA9" w:rsidRDefault="0072771F" w:rsidP="0072771F">
      <w:pPr>
        <w:spacing w:after="0" w:line="240" w:lineRule="auto"/>
        <w:rPr>
          <w:rFonts w:eastAsia="Aptos" w:cs="Calibri"/>
        </w:rPr>
      </w:pPr>
      <w:r w:rsidRPr="002D6AB5">
        <w:rPr>
          <w:rFonts w:eastAsia="Aptos" w:cs="Calibri"/>
        </w:rPr>
        <w:t>The audit tested whether neglect was identified as a risk factor, whether neglect was prioritised when assessing children’s needs and plans, whether interventions were of a good standard and having a positive impact, and whether working with neglect was overseen by good quality management.</w:t>
      </w:r>
    </w:p>
    <w:p w14:paraId="36C5E0D5" w14:textId="77777777" w:rsidR="00CC71E5" w:rsidRDefault="00CC71E5" w:rsidP="0072771F">
      <w:pPr>
        <w:spacing w:after="0" w:line="240" w:lineRule="auto"/>
        <w:rPr>
          <w:rFonts w:eastAsia="Aptos" w:cs="Calibri"/>
        </w:rPr>
      </w:pPr>
    </w:p>
    <w:p w14:paraId="58423C48" w14:textId="32A7E4F1" w:rsidR="00CC71E5" w:rsidRDefault="00CC71E5" w:rsidP="0072771F">
      <w:pPr>
        <w:spacing w:after="0" w:line="240" w:lineRule="auto"/>
        <w:rPr>
          <w:rFonts w:eastAsia="Aptos" w:cs="Calibri"/>
        </w:rPr>
      </w:pPr>
      <w:r w:rsidRPr="00CC71E5">
        <w:rPr>
          <w:rFonts w:eastAsia="Aptos" w:cs="Calibri"/>
        </w:rPr>
        <w:t>There was overall evidence of a collaborative approach to understanding and supporting causal factors of neglect and the impact that had on children and their development. Children’s diverse needs were broadly and collectively understood across the whole partnership and were appropriately planned for</w:t>
      </w:r>
      <w:r w:rsidR="00A060E5">
        <w:rPr>
          <w:rFonts w:eastAsia="Aptos" w:cs="Calibri"/>
        </w:rPr>
        <w:t>.</w:t>
      </w:r>
      <w:r w:rsidR="001E02DC" w:rsidRPr="001E02DC">
        <w:t xml:space="preserve"> </w:t>
      </w:r>
      <w:r w:rsidR="001E02DC" w:rsidRPr="001E02DC">
        <w:rPr>
          <w:rFonts w:eastAsia="Aptos" w:cs="Calibri"/>
        </w:rPr>
        <w:t>There was little to no drift evident in children’s lives and an improvement had been made regarding the partnership’s response to child neglect. Referral information was generally sufficient</w:t>
      </w:r>
      <w:r w:rsidR="00DB7426">
        <w:rPr>
          <w:rFonts w:eastAsia="Aptos" w:cs="Calibri"/>
        </w:rPr>
        <w:t>.</w:t>
      </w:r>
    </w:p>
    <w:p w14:paraId="152013BA" w14:textId="77777777" w:rsidR="00DB7426" w:rsidRDefault="00DB7426" w:rsidP="0072771F">
      <w:pPr>
        <w:spacing w:after="0" w:line="240" w:lineRule="auto"/>
        <w:rPr>
          <w:rFonts w:eastAsia="Aptos" w:cs="Calibri"/>
        </w:rPr>
      </w:pPr>
    </w:p>
    <w:p w14:paraId="7326C9BF" w14:textId="09A8F4F3" w:rsidR="00DB7426" w:rsidRDefault="00DB7426" w:rsidP="0072771F">
      <w:pPr>
        <w:spacing w:after="0" w:line="240" w:lineRule="auto"/>
        <w:rPr>
          <w:rFonts w:eastAsia="Times New Roman"/>
        </w:rPr>
      </w:pPr>
      <w:r w:rsidRPr="00DB7426">
        <w:rPr>
          <w:rFonts w:eastAsia="Aptos" w:cs="Calibri"/>
        </w:rPr>
        <w:t>Positively, the children selected for this audit did have a GCP (Graded Care Profile) completed or planned as part of assessing neglect</w:t>
      </w:r>
      <w:r>
        <w:rPr>
          <w:rFonts w:eastAsia="Aptos" w:cs="Calibri"/>
        </w:rPr>
        <w:t>.</w:t>
      </w:r>
      <w:r w:rsidR="00036936">
        <w:rPr>
          <w:rFonts w:eastAsia="Aptos" w:cs="Calibri"/>
        </w:rPr>
        <w:t xml:space="preserve"> </w:t>
      </w:r>
      <w:r w:rsidR="00036936">
        <w:rPr>
          <w:rFonts w:cstheme="minorHAnsi"/>
        </w:rPr>
        <w:t xml:space="preserve">There was some evidence of good and excellent partnership working; all families received a multiagency response, </w:t>
      </w:r>
      <w:r w:rsidR="00036936">
        <w:rPr>
          <w:rFonts w:eastAsia="Times New Roman"/>
        </w:rPr>
        <w:t>resulting in improved outcomes for children in a timely way.</w:t>
      </w:r>
      <w:r w:rsidR="00BB64FE">
        <w:rPr>
          <w:rFonts w:eastAsia="Times New Roman"/>
        </w:rPr>
        <w:t xml:space="preserve"> </w:t>
      </w:r>
      <w:r w:rsidR="00BB64FE" w:rsidRPr="00BB64FE">
        <w:rPr>
          <w:rFonts w:eastAsia="Times New Roman"/>
        </w:rPr>
        <w:t>Professionals worked quickly to identify and offer specialist support i.e., domestic abuse support and practical solutions to address neglect i.e., deep cleaning, skip hire, food parcels etc. However parental engagement often depended on there being practical support and when that was exhausted, too many parents appeared to disengage</w:t>
      </w:r>
      <w:r w:rsidR="009A14E0">
        <w:rPr>
          <w:rFonts w:eastAsia="Times New Roman"/>
        </w:rPr>
        <w:t>.</w:t>
      </w:r>
    </w:p>
    <w:p w14:paraId="24237A66" w14:textId="77777777" w:rsidR="009A14E0" w:rsidRDefault="009A14E0" w:rsidP="0072771F">
      <w:pPr>
        <w:spacing w:after="0" w:line="240" w:lineRule="auto"/>
        <w:rPr>
          <w:rFonts w:eastAsia="Times New Roman"/>
        </w:rPr>
      </w:pPr>
    </w:p>
    <w:p w14:paraId="3674BCFB" w14:textId="7F11DEFB" w:rsidR="009A14E0" w:rsidRDefault="009A14E0" w:rsidP="0072771F">
      <w:pPr>
        <w:spacing w:after="0" w:line="240" w:lineRule="auto"/>
        <w:rPr>
          <w:rFonts w:cstheme="minorHAnsi"/>
        </w:rPr>
      </w:pPr>
      <w:r>
        <w:rPr>
          <w:rFonts w:eastAsia="Times New Roman"/>
        </w:rPr>
        <w:t xml:space="preserve">Where there were large sibling groups, the impact of neglect was generally understood and evidenced much better than in previous assurance work, but the needs of each child were not always specifically identified in plans and therefore measuring progress for each child was </w:t>
      </w:r>
      <w:r w:rsidR="003C6F0A">
        <w:rPr>
          <w:rFonts w:eastAsia="Times New Roman"/>
        </w:rPr>
        <w:t>complicated and</w:t>
      </w:r>
      <w:r>
        <w:rPr>
          <w:rFonts w:eastAsia="Times New Roman"/>
        </w:rPr>
        <w:t xml:space="preserve"> not easily identified.</w:t>
      </w:r>
      <w:r w:rsidR="003C6F0A">
        <w:rPr>
          <w:rFonts w:eastAsia="Times New Roman"/>
        </w:rPr>
        <w:t xml:space="preserve"> </w:t>
      </w:r>
      <w:r w:rsidR="003C6F0A">
        <w:rPr>
          <w:rFonts w:cstheme="minorHAnsi"/>
        </w:rPr>
        <w:t>Where there was evidence of strong family networking, plans were co-produced, owned and driven by families themselves.  Positively Fathers and were generally considered and included in planning.</w:t>
      </w:r>
    </w:p>
    <w:p w14:paraId="490DF661" w14:textId="77777777" w:rsidR="00551A7E" w:rsidRDefault="00551A7E" w:rsidP="0072771F">
      <w:pPr>
        <w:spacing w:after="0" w:line="240" w:lineRule="auto"/>
        <w:rPr>
          <w:rFonts w:cstheme="minorHAnsi"/>
        </w:rPr>
      </w:pPr>
    </w:p>
    <w:p w14:paraId="3A937F11" w14:textId="36510FCC" w:rsidR="00551A7E" w:rsidRDefault="00551A7E" w:rsidP="0072771F">
      <w:pPr>
        <w:spacing w:after="0" w:line="240" w:lineRule="auto"/>
        <w:rPr>
          <w:rFonts w:eastAsia="Times New Roman"/>
        </w:rPr>
      </w:pPr>
      <w:r w:rsidRPr="00551A7E">
        <w:rPr>
          <w:rFonts w:eastAsia="Times New Roman"/>
        </w:rPr>
        <w:t>Management oversight and grip on casework was generally strong.</w:t>
      </w:r>
    </w:p>
    <w:p w14:paraId="03A6AFBB" w14:textId="61EECCA2" w:rsidR="008B082A" w:rsidRPr="00BB64FE" w:rsidRDefault="008B082A" w:rsidP="0072771F">
      <w:pPr>
        <w:spacing w:after="0" w:line="240" w:lineRule="auto"/>
        <w:rPr>
          <w:rFonts w:eastAsia="Times New Roman"/>
        </w:rPr>
      </w:pPr>
      <w:r w:rsidRPr="008B082A">
        <w:rPr>
          <w:rFonts w:eastAsia="Times New Roman"/>
        </w:rPr>
        <w:lastRenderedPageBreak/>
        <w:t>Neglect training: 32 local practitioners attended ‘Understanding Neglect’ training. 39% rated their knowledge as good, or very good pre-training, rising to 100% post training. 102 practitioners completed eLearning.</w:t>
      </w:r>
    </w:p>
    <w:p w14:paraId="6B03B259" w14:textId="77777777" w:rsidR="002D6AB5" w:rsidRPr="008F5F96" w:rsidRDefault="002D6AB5" w:rsidP="0072771F">
      <w:pPr>
        <w:spacing w:after="0" w:line="240" w:lineRule="auto"/>
        <w:rPr>
          <w:rFonts w:ascii="Calibri" w:eastAsia="Aptos" w:hAnsi="Calibri" w:cs="Calibri"/>
        </w:rPr>
      </w:pPr>
    </w:p>
    <w:p w14:paraId="0C7458D7" w14:textId="77777777" w:rsidR="004D69A0" w:rsidRPr="00477942" w:rsidRDefault="004D69A0" w:rsidP="004D69A0">
      <w:pPr>
        <w:spacing w:after="0" w:line="240" w:lineRule="auto"/>
        <w:rPr>
          <w:rFonts w:eastAsia="Aptos" w:cs="Calibri"/>
          <w:b/>
          <w:bCs/>
        </w:rPr>
      </w:pPr>
      <w:r w:rsidRPr="00477942">
        <w:rPr>
          <w:rFonts w:eastAsia="Aptos" w:cs="Calibri"/>
          <w:b/>
          <w:bCs/>
        </w:rPr>
        <w:t>Multi-Agency Chronologies Pilot:</w:t>
      </w:r>
    </w:p>
    <w:p w14:paraId="7BF9EE17" w14:textId="11A66E27" w:rsidR="00F25458" w:rsidRDefault="00F25458" w:rsidP="004D69A0">
      <w:pPr>
        <w:spacing w:after="0" w:line="240" w:lineRule="auto"/>
        <w:rPr>
          <w:rFonts w:eastAsia="Aptos" w:cs="Calibri"/>
        </w:rPr>
      </w:pPr>
      <w:r w:rsidRPr="00F25458">
        <w:rPr>
          <w:rFonts w:eastAsia="Aptos" w:cs="Calibri"/>
        </w:rPr>
        <w:t>Over the past few years, the Safeguarding Children Partnership has completed several audits, Rapid Reviews and CSPR’s where the learning has highlighted that an on-going multi-agency chronology would have been useful to practitioners, especially in neglect cases. In particular a recommendation from the Family D Learning review was to a proposal to embed multi-agency chronologies as standard practice for children subject to Child Protection Plans.</w:t>
      </w:r>
    </w:p>
    <w:p w14:paraId="4F4FC3D1" w14:textId="77777777" w:rsidR="00F25458" w:rsidRDefault="00F25458" w:rsidP="004D69A0">
      <w:pPr>
        <w:spacing w:after="0" w:line="240" w:lineRule="auto"/>
        <w:rPr>
          <w:rFonts w:eastAsia="Aptos" w:cs="Calibri"/>
        </w:rPr>
      </w:pPr>
    </w:p>
    <w:p w14:paraId="6680E0E2" w14:textId="3E2FEACE" w:rsidR="004D69A0" w:rsidRPr="00144B99" w:rsidRDefault="004D69A0" w:rsidP="004D69A0">
      <w:pPr>
        <w:spacing w:after="0" w:line="240" w:lineRule="auto"/>
        <w:rPr>
          <w:rFonts w:eastAsia="Aptos" w:cs="Calibri"/>
        </w:rPr>
      </w:pPr>
      <w:r w:rsidRPr="00477942">
        <w:rPr>
          <w:rFonts w:eastAsia="Aptos" w:cs="Calibri"/>
        </w:rPr>
        <w:t>Between January 2024 – August 2024, we piloted the use of Multi-Agency Chronologies within Core Groups, for 5 cases where neglect was a concern. We received positive feedback from the conference chairs that highlighted that once the chronologies were set up, they were easy to use and made the information accessible and clear and the information was well presented. One conference chair mentioned they were very useful in Strategy Discussions and highlighting missing episodes. However, it was noted that not all agencies added their information and information from systems such as CPOMS (School recording system) was a little unwieldy. It was also noted IT had to help with setting the chronologies up. Following our</w:t>
      </w:r>
      <w:r w:rsidRPr="00144B99">
        <w:rPr>
          <w:rFonts w:eastAsia="Aptos" w:cs="Calibri"/>
        </w:rPr>
        <w:t xml:space="preserve"> local</w:t>
      </w:r>
      <w:r w:rsidRPr="00477942">
        <w:rPr>
          <w:rFonts w:eastAsia="Aptos" w:cs="Calibri"/>
        </w:rPr>
        <w:t xml:space="preserve"> Case Review Group in October 2024, the </w:t>
      </w:r>
      <w:r w:rsidRPr="00144B99">
        <w:rPr>
          <w:rFonts w:eastAsia="Aptos" w:cs="Calibri"/>
        </w:rPr>
        <w:t xml:space="preserve">partnership agreed phase 2 of the pilot. It was agreed that </w:t>
      </w:r>
      <w:r w:rsidRPr="00477942">
        <w:rPr>
          <w:rFonts w:eastAsia="Aptos" w:cs="Calibri"/>
        </w:rPr>
        <w:t xml:space="preserve">multi-agency chronologies </w:t>
      </w:r>
      <w:r w:rsidRPr="00144B99">
        <w:rPr>
          <w:rFonts w:eastAsia="Aptos" w:cs="Calibri"/>
        </w:rPr>
        <w:t xml:space="preserve">should be set up </w:t>
      </w:r>
      <w:r w:rsidRPr="00477942">
        <w:rPr>
          <w:rFonts w:eastAsia="Aptos" w:cs="Calibri"/>
        </w:rPr>
        <w:t xml:space="preserve">for all </w:t>
      </w:r>
      <w:r w:rsidRPr="00144B99">
        <w:rPr>
          <w:rFonts w:eastAsia="Aptos" w:cs="Calibri"/>
        </w:rPr>
        <w:t xml:space="preserve">the then (current) </w:t>
      </w:r>
      <w:r w:rsidRPr="00477942">
        <w:rPr>
          <w:rFonts w:eastAsia="Aptos" w:cs="Calibri"/>
        </w:rPr>
        <w:t>under 2 neglect cases that progress</w:t>
      </w:r>
      <w:r w:rsidRPr="00144B99">
        <w:rPr>
          <w:rFonts w:eastAsia="Aptos" w:cs="Calibri"/>
        </w:rPr>
        <w:t>ed</w:t>
      </w:r>
      <w:r w:rsidRPr="00477942">
        <w:rPr>
          <w:rFonts w:eastAsia="Aptos" w:cs="Calibri"/>
        </w:rPr>
        <w:t xml:space="preserve"> from an ICPC onto a CP Plan for </w:t>
      </w:r>
      <w:r w:rsidRPr="00144B99">
        <w:rPr>
          <w:rFonts w:eastAsia="Aptos" w:cs="Calibri"/>
        </w:rPr>
        <w:t>neglect –</w:t>
      </w:r>
      <w:r w:rsidRPr="00477942">
        <w:rPr>
          <w:rFonts w:eastAsia="Aptos" w:cs="Calibri"/>
        </w:rPr>
        <w:t xml:space="preserve"> The working group met in January 2015 an</w:t>
      </w:r>
      <w:r w:rsidRPr="00144B99">
        <w:rPr>
          <w:rFonts w:eastAsia="Aptos" w:cs="Calibri"/>
        </w:rPr>
        <w:t>d</w:t>
      </w:r>
      <w:r w:rsidRPr="00477942">
        <w:rPr>
          <w:rFonts w:eastAsia="Aptos" w:cs="Calibri"/>
        </w:rPr>
        <w:t xml:space="preserve"> there were 14 cases (including 2 unborn) that fitted this category – </w:t>
      </w:r>
      <w:r w:rsidRPr="00144B99">
        <w:rPr>
          <w:rFonts w:eastAsia="Aptos" w:cs="Calibri"/>
        </w:rPr>
        <w:t>the Pilot continues.</w:t>
      </w:r>
    </w:p>
    <w:p w14:paraId="739DCEFF" w14:textId="77777777" w:rsidR="00DC4E62" w:rsidRPr="00144B99" w:rsidRDefault="00DC4E62" w:rsidP="004D69A0">
      <w:pPr>
        <w:spacing w:after="0" w:line="240" w:lineRule="auto"/>
        <w:rPr>
          <w:rFonts w:eastAsia="Aptos" w:cs="Calibri"/>
        </w:rPr>
      </w:pPr>
    </w:p>
    <w:p w14:paraId="76FE56EC" w14:textId="77777777" w:rsidR="00DC4E62" w:rsidRPr="00477942" w:rsidRDefault="00DC4E62" w:rsidP="00DC4E62">
      <w:pPr>
        <w:spacing w:after="0" w:line="240" w:lineRule="auto"/>
        <w:rPr>
          <w:rFonts w:eastAsia="Aptos" w:cs="Calibri"/>
          <w:b/>
          <w:bCs/>
        </w:rPr>
      </w:pPr>
      <w:r w:rsidRPr="00477942">
        <w:rPr>
          <w:rFonts w:eastAsia="Aptos" w:cs="Calibri"/>
          <w:b/>
          <w:bCs/>
        </w:rPr>
        <w:t>Exploitation</w:t>
      </w:r>
      <w:r w:rsidRPr="00144B99">
        <w:rPr>
          <w:rFonts w:eastAsia="Aptos" w:cs="Calibri"/>
          <w:b/>
          <w:bCs/>
        </w:rPr>
        <w:t xml:space="preserve"> including </w:t>
      </w:r>
      <w:r w:rsidRPr="00477942">
        <w:rPr>
          <w:rFonts w:eastAsia="Times New Roman" w:cs="Calibri"/>
          <w:b/>
          <w:bCs/>
          <w:kern w:val="0"/>
          <w:lang w:eastAsia="en-GB"/>
          <w14:ligatures w14:val="none"/>
        </w:rPr>
        <w:t>Serious Youth Violence Audit</w:t>
      </w:r>
      <w:r w:rsidRPr="00477942">
        <w:rPr>
          <w:rFonts w:eastAsia="Times New Roman" w:cs="Calibri"/>
          <w:kern w:val="0"/>
          <w:lang w:eastAsia="en-GB"/>
          <w14:ligatures w14:val="none"/>
        </w:rPr>
        <w:t xml:space="preserve"> – In September 2023, the Joint Inspectorates published the framework for the Joint targeted area inspections of the multi-agency response to serious youth violence.  In February 2024 the CBSCP in collaboration with the other 2 Bedfordshire Local Authorities attempted to complete a multi-agency audit focusing on young people at risk of serious youth violence to help provide assurance and identify any gaps and areas for development in relation to serious youth violence and exploitation.</w:t>
      </w:r>
    </w:p>
    <w:p w14:paraId="16598995" w14:textId="77777777" w:rsidR="00DC4E62" w:rsidRPr="00477942" w:rsidRDefault="00DC4E62" w:rsidP="00DC4E62">
      <w:pPr>
        <w:spacing w:after="0" w:line="240" w:lineRule="auto"/>
        <w:rPr>
          <w:rFonts w:eastAsia="Times New Roman" w:cs="Calibri"/>
          <w:kern w:val="0"/>
          <w:lang w:eastAsia="en-GB"/>
          <w14:ligatures w14:val="none"/>
        </w:rPr>
      </w:pPr>
    </w:p>
    <w:p w14:paraId="03FFD7B3" w14:textId="77777777" w:rsidR="00DC4E62" w:rsidRPr="00477942" w:rsidRDefault="00DC4E62" w:rsidP="00DC4E62">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In relation to areas of good practice, there was good evidence that referrals to the Integrated Front Door were responded to appropriately and information sharing in most of the cases was appropriate and the voice of the child was shared. There was evidence or trauma informed assessments, safety planning and comprehensive risk assessments. There was some evidence of thoughtful multi-agency work and a clear pathway to therapeutic help from CAMHS. There was evidence that schools were engaged and also appropriate use of the escalation process, lastly in all of the cases audited, there was at least one practitioner who managed to make a connection with a child and become a trusted adult to the child and family.</w:t>
      </w:r>
    </w:p>
    <w:p w14:paraId="090294D8" w14:textId="77777777" w:rsidR="00DC4E62" w:rsidRPr="00477942" w:rsidRDefault="00DC4E62" w:rsidP="00DC4E62">
      <w:pPr>
        <w:spacing w:after="0" w:line="240" w:lineRule="auto"/>
        <w:rPr>
          <w:rFonts w:eastAsia="Times New Roman" w:cs="Calibri"/>
          <w:kern w:val="0"/>
          <w:lang w:eastAsia="en-GB"/>
          <w14:ligatures w14:val="none"/>
        </w:rPr>
      </w:pPr>
    </w:p>
    <w:p w14:paraId="4314D964" w14:textId="77777777" w:rsidR="00DC4E62" w:rsidRPr="00477942" w:rsidRDefault="00DC4E62" w:rsidP="00DC4E62">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 xml:space="preserve">In relation to areas for development, it was clear that our co-ordinated Pan Bedfordshire response to Serious Youth Violence and Exploitation was not as mature as </w:t>
      </w:r>
      <w:r w:rsidRPr="00477942">
        <w:rPr>
          <w:rFonts w:eastAsia="Times New Roman" w:cs="Calibri"/>
          <w:kern w:val="0"/>
          <w:lang w:eastAsia="en-GB"/>
          <w14:ligatures w14:val="none"/>
        </w:rPr>
        <w:lastRenderedPageBreak/>
        <w:t xml:space="preserve">it could be and this need reviewing and developing further by our multi-agency partnerships. </w:t>
      </w:r>
    </w:p>
    <w:p w14:paraId="11E4B0A4" w14:textId="77777777" w:rsidR="00DC4E62" w:rsidRPr="00477942" w:rsidRDefault="00DC4E62" w:rsidP="00DC4E62">
      <w:pPr>
        <w:spacing w:after="0" w:line="240" w:lineRule="auto"/>
        <w:rPr>
          <w:rFonts w:eastAsia="Times New Roman" w:cs="Calibri"/>
          <w:kern w:val="0"/>
          <w:lang w:eastAsia="en-GB"/>
          <w14:ligatures w14:val="none"/>
        </w:rPr>
      </w:pPr>
    </w:p>
    <w:p w14:paraId="0D5938DB" w14:textId="77777777" w:rsidR="00DC4E62" w:rsidRPr="00477942" w:rsidRDefault="00DC4E62" w:rsidP="00DC4E62">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Other feedback included there did not seem to be a clear local profile in Central Bedfordshire regarding which children are currently affected (or at risk of) Serious Youth Violence and/ or criminal exploitation. Currently, there is not a clearly articulated multi-agency offer to children already affected by Serious Youth Violence or those who may be vulnerable to becoming involved in Serious Youth Violence, this requires further analysis and an overarching strategy. Our engagement and work with schools could be strengthened and our processes for our Serious Youth Violence Panel could also be reviewed.</w:t>
      </w:r>
    </w:p>
    <w:p w14:paraId="32E6E2A8" w14:textId="77777777" w:rsidR="00DC4E62" w:rsidRPr="00477942" w:rsidRDefault="00DC4E62" w:rsidP="00DC4E62">
      <w:pPr>
        <w:spacing w:after="0" w:line="240" w:lineRule="auto"/>
        <w:rPr>
          <w:rFonts w:eastAsia="Times New Roman" w:cs="Calibri"/>
          <w:kern w:val="0"/>
          <w:lang w:eastAsia="en-GB"/>
          <w14:ligatures w14:val="none"/>
        </w:rPr>
      </w:pPr>
    </w:p>
    <w:p w14:paraId="5E920A3E" w14:textId="6ADD6F9C" w:rsidR="00DC4E62" w:rsidRDefault="00DC4E62" w:rsidP="00DC4E62">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 xml:space="preserve">The below </w:t>
      </w:r>
      <w:r w:rsidRPr="00144B99">
        <w:rPr>
          <w:rFonts w:eastAsia="Times New Roman" w:cs="Calibri"/>
          <w:kern w:val="0"/>
          <w:lang w:eastAsia="en-GB"/>
          <w14:ligatures w14:val="none"/>
        </w:rPr>
        <w:t xml:space="preserve">presentation provides an update </w:t>
      </w:r>
      <w:r w:rsidR="004F293B" w:rsidRPr="00144B99">
        <w:rPr>
          <w:rFonts w:eastAsia="Times New Roman" w:cs="Calibri"/>
          <w:kern w:val="0"/>
          <w:lang w:eastAsia="en-GB"/>
          <w14:ligatures w14:val="none"/>
        </w:rPr>
        <w:t xml:space="preserve">in relation to </w:t>
      </w:r>
      <w:r w:rsidRPr="00477942">
        <w:rPr>
          <w:rFonts w:eastAsia="Times New Roman" w:cs="Calibri"/>
          <w:kern w:val="0"/>
          <w:lang w:eastAsia="en-GB"/>
          <w14:ligatures w14:val="none"/>
        </w:rPr>
        <w:t>our work around the</w:t>
      </w:r>
      <w:r w:rsidR="004F293B" w:rsidRPr="00144B99">
        <w:rPr>
          <w:rFonts w:eastAsia="Times New Roman" w:cs="Calibri"/>
          <w:kern w:val="0"/>
          <w:lang w:eastAsia="en-GB"/>
          <w14:ligatures w14:val="none"/>
        </w:rPr>
        <w:t xml:space="preserve"> </w:t>
      </w:r>
      <w:r w:rsidRPr="00477942">
        <w:rPr>
          <w:rFonts w:eastAsia="Times New Roman" w:cs="Calibri"/>
          <w:kern w:val="0"/>
          <w:lang w:eastAsia="en-GB"/>
          <w14:ligatures w14:val="none"/>
        </w:rPr>
        <w:t>recommendations from the audit</w:t>
      </w:r>
      <w:r w:rsidR="004F293B" w:rsidRPr="00144B99">
        <w:rPr>
          <w:rFonts w:eastAsia="Times New Roman" w:cs="Calibri"/>
          <w:kern w:val="0"/>
          <w:lang w:eastAsia="en-GB"/>
          <w14:ligatures w14:val="none"/>
        </w:rPr>
        <w:t>.</w:t>
      </w:r>
    </w:p>
    <w:p w14:paraId="032D4D16" w14:textId="77777777" w:rsidR="00E65FF6" w:rsidRDefault="00E65FF6" w:rsidP="00DC4E62">
      <w:pPr>
        <w:spacing w:after="0" w:line="240" w:lineRule="auto"/>
        <w:rPr>
          <w:rFonts w:eastAsia="Times New Roman" w:cs="Calibri"/>
          <w:kern w:val="0"/>
          <w:lang w:eastAsia="en-GB"/>
          <w14:ligatures w14:val="none"/>
        </w:rPr>
      </w:pPr>
    </w:p>
    <w:tbl>
      <w:tblPr>
        <w:tblStyle w:val="TableGrid"/>
        <w:tblW w:w="0" w:type="auto"/>
        <w:tblLook w:val="04A0" w:firstRow="1" w:lastRow="0" w:firstColumn="1" w:lastColumn="0" w:noHBand="0" w:noVBand="1"/>
      </w:tblPr>
      <w:tblGrid>
        <w:gridCol w:w="4508"/>
        <w:gridCol w:w="4508"/>
      </w:tblGrid>
      <w:tr w:rsidR="00E65FF6" w14:paraId="389A7BD9" w14:textId="77777777">
        <w:tc>
          <w:tcPr>
            <w:tcW w:w="4508" w:type="dxa"/>
          </w:tcPr>
          <w:p w14:paraId="45A55D79" w14:textId="024CD2BC" w:rsidR="00E65FF6" w:rsidRPr="009745B2" w:rsidRDefault="00E65FF6" w:rsidP="00E65FF6">
            <w:pPr>
              <w:jc w:val="center"/>
              <w:rPr>
                <w:rFonts w:eastAsia="Times New Roman" w:cs="Calibri"/>
                <w:b/>
                <w:bCs/>
                <w:kern w:val="0"/>
                <w:lang w:eastAsia="en-GB"/>
                <w14:ligatures w14:val="none"/>
              </w:rPr>
            </w:pPr>
            <w:r w:rsidRPr="009745B2">
              <w:rPr>
                <w:rFonts w:eastAsia="Times New Roman" w:cs="Calibri"/>
                <w:b/>
                <w:bCs/>
                <w:kern w:val="0"/>
                <w:lang w:eastAsia="en-GB"/>
                <w14:ligatures w14:val="none"/>
              </w:rPr>
              <w:t>Recommendation</w:t>
            </w:r>
            <w:r w:rsidR="001850F5" w:rsidRPr="009745B2">
              <w:rPr>
                <w:rFonts w:eastAsia="Times New Roman" w:cs="Calibri"/>
                <w:b/>
                <w:bCs/>
                <w:kern w:val="0"/>
                <w:lang w:eastAsia="en-GB"/>
                <w14:ligatures w14:val="none"/>
              </w:rPr>
              <w:t>s</w:t>
            </w:r>
          </w:p>
        </w:tc>
        <w:tc>
          <w:tcPr>
            <w:tcW w:w="4508" w:type="dxa"/>
          </w:tcPr>
          <w:p w14:paraId="73FFD4FA" w14:textId="3DDCCF15" w:rsidR="00E65FF6" w:rsidRPr="009745B2" w:rsidRDefault="00E65FF6" w:rsidP="00E65FF6">
            <w:pPr>
              <w:jc w:val="center"/>
              <w:rPr>
                <w:rFonts w:eastAsia="Times New Roman" w:cs="Calibri"/>
                <w:b/>
                <w:bCs/>
                <w:kern w:val="0"/>
                <w:lang w:eastAsia="en-GB"/>
                <w14:ligatures w14:val="none"/>
              </w:rPr>
            </w:pPr>
            <w:r w:rsidRPr="009745B2">
              <w:rPr>
                <w:rFonts w:eastAsia="Times New Roman" w:cs="Calibri"/>
                <w:b/>
                <w:bCs/>
                <w:kern w:val="0"/>
                <w:lang w:eastAsia="en-GB"/>
                <w14:ligatures w14:val="none"/>
              </w:rPr>
              <w:t>Actions Taken/Progress</w:t>
            </w:r>
          </w:p>
        </w:tc>
      </w:tr>
      <w:tr w:rsidR="00E65FF6" w14:paraId="501498BA" w14:textId="77777777">
        <w:tc>
          <w:tcPr>
            <w:tcW w:w="4508" w:type="dxa"/>
          </w:tcPr>
          <w:p w14:paraId="5316284D" w14:textId="77777777" w:rsidR="001850F5" w:rsidRPr="001850F5" w:rsidRDefault="001850F5" w:rsidP="001850F5">
            <w:pPr>
              <w:rPr>
                <w:rFonts w:eastAsia="Times New Roman" w:cs="Calibri"/>
                <w:kern w:val="0"/>
                <w:lang w:eastAsia="en-GB"/>
                <w14:ligatures w14:val="none"/>
              </w:rPr>
            </w:pPr>
            <w:r w:rsidRPr="001850F5">
              <w:rPr>
                <w:rFonts w:eastAsia="Times New Roman" w:cs="Calibri"/>
                <w:b/>
                <w:bCs/>
                <w:kern w:val="0"/>
                <w:lang w:eastAsia="en-GB"/>
                <w14:ligatures w14:val="none"/>
              </w:rPr>
              <w:t>Recommendation 1:</w:t>
            </w:r>
          </w:p>
          <w:p w14:paraId="1414FA20" w14:textId="77777777" w:rsidR="001850F5" w:rsidRPr="001850F5" w:rsidRDefault="001850F5" w:rsidP="001850F5">
            <w:pPr>
              <w:rPr>
                <w:rFonts w:eastAsia="Times New Roman" w:cs="Calibri"/>
                <w:kern w:val="0"/>
                <w:lang w:eastAsia="en-GB"/>
                <w14:ligatures w14:val="none"/>
              </w:rPr>
            </w:pPr>
            <w:r w:rsidRPr="001850F5">
              <w:rPr>
                <w:rFonts w:eastAsia="Times New Roman" w:cs="Calibri"/>
                <w:kern w:val="0"/>
                <w:lang w:eastAsia="en-GB"/>
                <w14:ligatures w14:val="none"/>
              </w:rPr>
              <w:t xml:space="preserve">Prioritise the development of a multi-agency Serious Youth Violence needs analysis of the cohort of children most affected (victims and perpetrators). The local analysis should be cross-referenced to risk of exploitation. </w:t>
            </w:r>
          </w:p>
          <w:p w14:paraId="198E0595" w14:textId="77777777" w:rsidR="00E65FF6" w:rsidRDefault="00E65FF6" w:rsidP="009745B2">
            <w:pPr>
              <w:rPr>
                <w:rFonts w:eastAsia="Times New Roman" w:cs="Calibri"/>
                <w:kern w:val="0"/>
                <w:lang w:eastAsia="en-GB"/>
                <w14:ligatures w14:val="none"/>
              </w:rPr>
            </w:pPr>
          </w:p>
        </w:tc>
        <w:tc>
          <w:tcPr>
            <w:tcW w:w="4508" w:type="dxa"/>
          </w:tcPr>
          <w:p w14:paraId="7F6FE092" w14:textId="77777777" w:rsidR="001850F5" w:rsidRPr="001850F5" w:rsidRDefault="001850F5" w:rsidP="00434E82">
            <w:pPr>
              <w:pStyle w:val="ListParagraph"/>
              <w:numPr>
                <w:ilvl w:val="0"/>
                <w:numId w:val="27"/>
              </w:numPr>
              <w:rPr>
                <w:rFonts w:eastAsia="Times New Roman" w:cs="Calibri"/>
                <w:kern w:val="0"/>
                <w:lang w:eastAsia="en-GB"/>
                <w14:ligatures w14:val="none"/>
              </w:rPr>
            </w:pPr>
            <w:r w:rsidRPr="001850F5">
              <w:rPr>
                <w:rFonts w:eastAsia="Times New Roman" w:cs="Calibri"/>
                <w:kern w:val="0"/>
                <w:lang w:eastAsia="en-GB"/>
                <w14:ligatures w14:val="none"/>
              </w:rPr>
              <w:t>The Bedfordshire VERU have led the development of a revised Bedfordshire Strategy for Serious Violence and Exploitation.</w:t>
            </w:r>
          </w:p>
          <w:p w14:paraId="0207363B" w14:textId="43BE8B01" w:rsidR="001850F5" w:rsidRPr="001850F5" w:rsidRDefault="001850F5" w:rsidP="00434E82">
            <w:pPr>
              <w:pStyle w:val="ListParagraph"/>
              <w:numPr>
                <w:ilvl w:val="0"/>
                <w:numId w:val="27"/>
              </w:numPr>
              <w:rPr>
                <w:rFonts w:eastAsia="Times New Roman" w:cs="Calibri"/>
                <w:kern w:val="0"/>
                <w:lang w:eastAsia="en-GB"/>
                <w14:ligatures w14:val="none"/>
              </w:rPr>
            </w:pPr>
            <w:r w:rsidRPr="001850F5">
              <w:rPr>
                <w:rFonts w:eastAsia="Times New Roman" w:cs="Calibri"/>
                <w:kern w:val="0"/>
                <w:lang w:eastAsia="en-GB"/>
                <w14:ligatures w14:val="none"/>
              </w:rPr>
              <w:t xml:space="preserve">Bedfordshire Serious Violence Strategic Needs Analysis </w:t>
            </w:r>
          </w:p>
          <w:p w14:paraId="69B82C34" w14:textId="77777777" w:rsidR="001850F5" w:rsidRPr="001850F5" w:rsidRDefault="001850F5" w:rsidP="00434E82">
            <w:pPr>
              <w:pStyle w:val="ListParagraph"/>
              <w:numPr>
                <w:ilvl w:val="0"/>
                <w:numId w:val="27"/>
              </w:numPr>
              <w:rPr>
                <w:rFonts w:eastAsia="Times New Roman" w:cs="Calibri"/>
                <w:kern w:val="0"/>
                <w:lang w:eastAsia="en-GB"/>
                <w14:ligatures w14:val="none"/>
              </w:rPr>
            </w:pPr>
            <w:r w:rsidRPr="001850F5">
              <w:rPr>
                <w:rFonts w:eastAsia="Times New Roman" w:cs="Calibri"/>
                <w:kern w:val="0"/>
                <w:lang w:eastAsia="en-GB"/>
                <w14:ligatures w14:val="none"/>
              </w:rPr>
              <w:t xml:space="preserve">Within Central Bedfordshire Children’s Services, the performance Team have overlayed several indicators/markers on the mosaic system to help identify young people at risk of SYV and Exploitation </w:t>
            </w:r>
          </w:p>
          <w:p w14:paraId="5984BEA1" w14:textId="77777777" w:rsidR="001850F5" w:rsidRPr="001850F5" w:rsidRDefault="001850F5" w:rsidP="00434E82">
            <w:pPr>
              <w:pStyle w:val="ListParagraph"/>
              <w:numPr>
                <w:ilvl w:val="0"/>
                <w:numId w:val="27"/>
              </w:numPr>
              <w:rPr>
                <w:rFonts w:eastAsia="Times New Roman" w:cs="Calibri"/>
                <w:kern w:val="0"/>
                <w:lang w:eastAsia="en-GB"/>
                <w14:ligatures w14:val="none"/>
              </w:rPr>
            </w:pPr>
            <w:r w:rsidRPr="001850F5">
              <w:rPr>
                <w:rFonts w:eastAsia="Times New Roman" w:cs="Calibri"/>
                <w:kern w:val="0"/>
                <w:lang w:eastAsia="en-GB"/>
                <w14:ligatures w14:val="none"/>
              </w:rPr>
              <w:t xml:space="preserve">Children’s Services Exploitation and Missing Co-Ordinator  </w:t>
            </w:r>
          </w:p>
          <w:p w14:paraId="5491FB02" w14:textId="77777777" w:rsidR="001850F5" w:rsidRPr="001850F5" w:rsidRDefault="001850F5" w:rsidP="00434E82">
            <w:pPr>
              <w:pStyle w:val="ListParagraph"/>
              <w:numPr>
                <w:ilvl w:val="0"/>
                <w:numId w:val="27"/>
              </w:numPr>
              <w:rPr>
                <w:rFonts w:eastAsia="Times New Roman" w:cs="Calibri"/>
                <w:kern w:val="0"/>
                <w:lang w:eastAsia="en-GB"/>
                <w14:ligatures w14:val="none"/>
              </w:rPr>
            </w:pPr>
            <w:r w:rsidRPr="001850F5">
              <w:rPr>
                <w:rFonts w:eastAsia="Times New Roman" w:cs="Calibri"/>
                <w:kern w:val="0"/>
                <w:lang w:eastAsia="en-GB"/>
                <w14:ligatures w14:val="none"/>
              </w:rPr>
              <w:t xml:space="preserve">Bedfordshire Youth Offending Team – Risk and Safeguarding Panel (RASP Panel) and Serious Youth Violence Panel </w:t>
            </w:r>
          </w:p>
          <w:p w14:paraId="7878DF1F" w14:textId="77777777" w:rsidR="00E65FF6" w:rsidRDefault="00E65FF6" w:rsidP="00DC4E62">
            <w:pPr>
              <w:rPr>
                <w:rFonts w:eastAsia="Times New Roman" w:cs="Calibri"/>
                <w:kern w:val="0"/>
                <w:lang w:eastAsia="en-GB"/>
                <w14:ligatures w14:val="none"/>
              </w:rPr>
            </w:pPr>
          </w:p>
        </w:tc>
      </w:tr>
      <w:tr w:rsidR="00E65FF6" w14:paraId="31F31D3C" w14:textId="77777777">
        <w:tc>
          <w:tcPr>
            <w:tcW w:w="4508" w:type="dxa"/>
          </w:tcPr>
          <w:p w14:paraId="49AC9AC6" w14:textId="77777777" w:rsidR="009745B2" w:rsidRPr="009745B2" w:rsidRDefault="009745B2" w:rsidP="009745B2">
            <w:pPr>
              <w:rPr>
                <w:rFonts w:eastAsia="Times New Roman" w:cs="Calibri"/>
                <w:kern w:val="0"/>
                <w:lang w:eastAsia="en-GB"/>
                <w14:ligatures w14:val="none"/>
              </w:rPr>
            </w:pPr>
            <w:r w:rsidRPr="009745B2">
              <w:rPr>
                <w:rFonts w:eastAsia="Times New Roman" w:cs="Calibri"/>
                <w:b/>
                <w:bCs/>
                <w:kern w:val="0"/>
                <w:lang w:eastAsia="en-GB"/>
                <w14:ligatures w14:val="none"/>
              </w:rPr>
              <w:t>Recommendation 2:</w:t>
            </w:r>
          </w:p>
          <w:p w14:paraId="41340A23" w14:textId="6A61798F" w:rsidR="00E65FF6" w:rsidRDefault="009745B2" w:rsidP="00D66D92">
            <w:pPr>
              <w:rPr>
                <w:rFonts w:eastAsia="Times New Roman" w:cs="Calibri"/>
                <w:kern w:val="0"/>
                <w:lang w:eastAsia="en-GB"/>
                <w14:ligatures w14:val="none"/>
              </w:rPr>
            </w:pPr>
            <w:r w:rsidRPr="009745B2">
              <w:rPr>
                <w:rFonts w:eastAsia="Times New Roman" w:cs="Calibri"/>
                <w:kern w:val="0"/>
                <w:lang w:eastAsia="en-GB"/>
                <w14:ligatures w14:val="none"/>
              </w:rPr>
              <w:t xml:space="preserve">That the CBSCP statutory partners, working in close partnership with colleagues in education, review and refine multi-agency panels and pathways so that children in Central Bedfordshire get the help they need to divert them and protect them from SYV and Exploitation. </w:t>
            </w:r>
          </w:p>
        </w:tc>
        <w:tc>
          <w:tcPr>
            <w:tcW w:w="4508" w:type="dxa"/>
          </w:tcPr>
          <w:p w14:paraId="022217F4" w14:textId="77777777" w:rsidR="009745B2" w:rsidRPr="009745B2" w:rsidRDefault="009745B2" w:rsidP="00434E82">
            <w:pPr>
              <w:numPr>
                <w:ilvl w:val="0"/>
                <w:numId w:val="28"/>
              </w:numPr>
              <w:rPr>
                <w:rFonts w:eastAsia="Times New Roman" w:cs="Calibri"/>
                <w:kern w:val="0"/>
                <w:lang w:eastAsia="en-GB"/>
                <w14:ligatures w14:val="none"/>
              </w:rPr>
            </w:pPr>
            <w:r w:rsidRPr="009745B2">
              <w:rPr>
                <w:rFonts w:eastAsia="Times New Roman" w:cs="Calibri"/>
                <w:kern w:val="0"/>
                <w:lang w:eastAsia="en-GB"/>
                <w14:ligatures w14:val="none"/>
              </w:rPr>
              <w:t xml:space="preserve">Development of a MACE – Locally we have a SPOC meeting operating as our MACE. </w:t>
            </w:r>
          </w:p>
          <w:p w14:paraId="70FD9FA3" w14:textId="77777777" w:rsidR="009745B2" w:rsidRPr="009745B2" w:rsidRDefault="009745B2" w:rsidP="00434E82">
            <w:pPr>
              <w:numPr>
                <w:ilvl w:val="0"/>
                <w:numId w:val="28"/>
              </w:numPr>
              <w:rPr>
                <w:rFonts w:eastAsia="Times New Roman" w:cs="Calibri"/>
                <w:kern w:val="0"/>
                <w:lang w:eastAsia="en-GB"/>
                <w14:ligatures w14:val="none"/>
              </w:rPr>
            </w:pPr>
            <w:r w:rsidRPr="009745B2">
              <w:rPr>
                <w:rFonts w:eastAsia="Times New Roman" w:cs="Calibri"/>
                <w:kern w:val="0"/>
                <w:lang w:eastAsia="en-GB"/>
                <w14:ligatures w14:val="none"/>
              </w:rPr>
              <w:t xml:space="preserve">Define multi-agency roles and responsibilities of all partners to children affected by SYV – Central Bedfordshire Children's Serviced have developed practice guidance for staff which is available on the SharePoint system. Guidance has also been added to the Pan </w:t>
            </w:r>
            <w:r w:rsidRPr="009745B2">
              <w:rPr>
                <w:rFonts w:eastAsia="Times New Roman" w:cs="Calibri"/>
                <w:kern w:val="0"/>
                <w:lang w:eastAsia="en-GB"/>
                <w14:ligatures w14:val="none"/>
              </w:rPr>
              <w:lastRenderedPageBreak/>
              <w:t>Bedfordshire Multi-agency Child Protection Procedures.</w:t>
            </w:r>
          </w:p>
          <w:p w14:paraId="4CE232AB" w14:textId="77777777" w:rsidR="009745B2" w:rsidRPr="009745B2" w:rsidRDefault="009745B2" w:rsidP="00434E82">
            <w:pPr>
              <w:numPr>
                <w:ilvl w:val="0"/>
                <w:numId w:val="28"/>
              </w:numPr>
              <w:rPr>
                <w:rFonts w:eastAsia="Times New Roman" w:cs="Calibri"/>
                <w:kern w:val="0"/>
                <w:lang w:eastAsia="en-GB"/>
                <w14:ligatures w14:val="none"/>
              </w:rPr>
            </w:pPr>
            <w:r w:rsidRPr="009745B2">
              <w:rPr>
                <w:rFonts w:eastAsia="Times New Roman" w:cs="Calibri"/>
                <w:kern w:val="0"/>
                <w:lang w:eastAsia="en-GB"/>
                <w14:ligatures w14:val="none"/>
              </w:rPr>
              <w:t>Clear offer to children and families affected by SYV and clear pathways - Serious Youth Violence Panel Pathway and referral pathways into VERU funded projects</w:t>
            </w:r>
          </w:p>
          <w:p w14:paraId="1CBE9DAB" w14:textId="77777777" w:rsidR="009745B2" w:rsidRPr="009745B2" w:rsidRDefault="009745B2" w:rsidP="00434E82">
            <w:pPr>
              <w:numPr>
                <w:ilvl w:val="0"/>
                <w:numId w:val="28"/>
              </w:numPr>
              <w:rPr>
                <w:rFonts w:eastAsia="Times New Roman" w:cs="Calibri"/>
                <w:kern w:val="0"/>
                <w:lang w:eastAsia="en-GB"/>
                <w14:ligatures w14:val="none"/>
              </w:rPr>
            </w:pPr>
            <w:r w:rsidRPr="009745B2">
              <w:rPr>
                <w:rFonts w:eastAsia="Times New Roman" w:cs="Calibri"/>
                <w:kern w:val="0"/>
                <w:lang w:eastAsia="en-GB"/>
                <w14:ligatures w14:val="none"/>
              </w:rPr>
              <w:t>Using the expertise of the CBC Exploitation Lead – Lunch and learn sessions, individual support and advice, training and consultation sessions, quality assurance activity, staff have access to guidance tools.</w:t>
            </w:r>
          </w:p>
          <w:p w14:paraId="0475B025" w14:textId="77777777" w:rsidR="00E65FF6" w:rsidRDefault="00E65FF6" w:rsidP="00DC4E62">
            <w:pPr>
              <w:rPr>
                <w:rFonts w:eastAsia="Times New Roman" w:cs="Calibri"/>
                <w:kern w:val="0"/>
                <w:lang w:eastAsia="en-GB"/>
                <w14:ligatures w14:val="none"/>
              </w:rPr>
            </w:pPr>
          </w:p>
        </w:tc>
      </w:tr>
      <w:tr w:rsidR="00E65FF6" w14:paraId="71EBCE56" w14:textId="77777777">
        <w:tc>
          <w:tcPr>
            <w:tcW w:w="4508" w:type="dxa"/>
          </w:tcPr>
          <w:p w14:paraId="422B05DC" w14:textId="77777777" w:rsidR="00D462D8" w:rsidRPr="00D462D8" w:rsidRDefault="00D462D8" w:rsidP="00D462D8">
            <w:pPr>
              <w:rPr>
                <w:rFonts w:eastAsia="Times New Roman" w:cs="Calibri"/>
                <w:kern w:val="0"/>
                <w:lang w:eastAsia="en-GB"/>
                <w14:ligatures w14:val="none"/>
              </w:rPr>
            </w:pPr>
            <w:r w:rsidRPr="00D462D8">
              <w:rPr>
                <w:rFonts w:eastAsia="Times New Roman" w:cs="Calibri"/>
                <w:b/>
                <w:bCs/>
                <w:kern w:val="0"/>
                <w:lang w:eastAsia="en-GB"/>
                <w14:ligatures w14:val="none"/>
              </w:rPr>
              <w:lastRenderedPageBreak/>
              <w:t>Recommendation 3:</w:t>
            </w:r>
          </w:p>
          <w:p w14:paraId="078C9A73" w14:textId="77777777" w:rsidR="00D462D8" w:rsidRPr="00D462D8" w:rsidRDefault="00D462D8" w:rsidP="00D462D8">
            <w:pPr>
              <w:rPr>
                <w:rFonts w:eastAsia="Times New Roman" w:cs="Calibri"/>
                <w:kern w:val="0"/>
                <w:lang w:eastAsia="en-GB"/>
                <w14:ligatures w14:val="none"/>
              </w:rPr>
            </w:pPr>
            <w:r w:rsidRPr="00D462D8">
              <w:rPr>
                <w:rFonts w:eastAsia="Times New Roman" w:cs="Calibri"/>
                <w:kern w:val="0"/>
                <w:lang w:eastAsia="en-GB"/>
                <w14:ligatures w14:val="none"/>
              </w:rPr>
              <w:t>Cases that appear as ‘stuck’ should be identified as such and escalated for a multi-agency complex case discussion or escalated to the multi-agency high risk panel.</w:t>
            </w:r>
          </w:p>
          <w:p w14:paraId="56B55D90" w14:textId="77777777" w:rsidR="00E65FF6" w:rsidRDefault="00E65FF6" w:rsidP="00DC4E62">
            <w:pPr>
              <w:rPr>
                <w:rFonts w:eastAsia="Times New Roman" w:cs="Calibri"/>
                <w:kern w:val="0"/>
                <w:lang w:eastAsia="en-GB"/>
                <w14:ligatures w14:val="none"/>
              </w:rPr>
            </w:pPr>
          </w:p>
        </w:tc>
        <w:tc>
          <w:tcPr>
            <w:tcW w:w="4508" w:type="dxa"/>
          </w:tcPr>
          <w:p w14:paraId="5788DFE8" w14:textId="77777777" w:rsidR="00C6016D" w:rsidRPr="00C6016D" w:rsidRDefault="00C6016D" w:rsidP="00434E82">
            <w:pPr>
              <w:numPr>
                <w:ilvl w:val="0"/>
                <w:numId w:val="29"/>
              </w:numPr>
              <w:rPr>
                <w:rFonts w:eastAsia="Times New Roman" w:cs="Calibri"/>
                <w:kern w:val="0"/>
                <w:lang w:eastAsia="en-GB"/>
                <w14:ligatures w14:val="none"/>
              </w:rPr>
            </w:pPr>
            <w:r w:rsidRPr="00C6016D">
              <w:rPr>
                <w:rFonts w:eastAsia="Times New Roman" w:cs="Calibri"/>
                <w:kern w:val="0"/>
                <w:lang w:eastAsia="en-GB"/>
                <w14:ligatures w14:val="none"/>
              </w:rPr>
              <w:t>If cases are open to BYOS, they are discussed at the Risk and Safeguarding Panel</w:t>
            </w:r>
          </w:p>
          <w:p w14:paraId="39029C7A" w14:textId="77777777" w:rsidR="00C6016D" w:rsidRPr="00C6016D" w:rsidRDefault="00C6016D" w:rsidP="00434E82">
            <w:pPr>
              <w:numPr>
                <w:ilvl w:val="0"/>
                <w:numId w:val="29"/>
              </w:numPr>
              <w:rPr>
                <w:rFonts w:eastAsia="Times New Roman" w:cs="Calibri"/>
                <w:kern w:val="0"/>
                <w:lang w:eastAsia="en-GB"/>
                <w14:ligatures w14:val="none"/>
              </w:rPr>
            </w:pPr>
            <w:r w:rsidRPr="00C6016D">
              <w:rPr>
                <w:rFonts w:eastAsia="Times New Roman" w:cs="Calibri"/>
                <w:kern w:val="0"/>
                <w:lang w:eastAsia="en-GB"/>
                <w14:ligatures w14:val="none"/>
              </w:rPr>
              <w:t>Referrals can be made to the Serious Youth Violence Panel – SYV Panel has an action log, so actions are documented and followed up.</w:t>
            </w:r>
          </w:p>
          <w:p w14:paraId="3439BBF4" w14:textId="77777777" w:rsidR="00C6016D" w:rsidRPr="00C6016D" w:rsidRDefault="00C6016D" w:rsidP="00434E82">
            <w:pPr>
              <w:numPr>
                <w:ilvl w:val="0"/>
                <w:numId w:val="29"/>
              </w:numPr>
              <w:rPr>
                <w:rFonts w:eastAsia="Times New Roman" w:cs="Calibri"/>
                <w:kern w:val="0"/>
                <w:lang w:eastAsia="en-GB"/>
                <w14:ligatures w14:val="none"/>
              </w:rPr>
            </w:pPr>
            <w:r w:rsidRPr="00C6016D">
              <w:rPr>
                <w:rFonts w:eastAsia="Times New Roman" w:cs="Calibri"/>
                <w:kern w:val="0"/>
                <w:lang w:eastAsia="en-GB"/>
                <w14:ligatures w14:val="none"/>
              </w:rPr>
              <w:t>Children’s Services hold Complex Case Discussions - Details of complex case discussions and escalations are logged on the child’s records.</w:t>
            </w:r>
          </w:p>
          <w:p w14:paraId="25EC4BFF" w14:textId="77777777" w:rsidR="00C6016D" w:rsidRPr="00C6016D" w:rsidRDefault="00C6016D" w:rsidP="00434E82">
            <w:pPr>
              <w:numPr>
                <w:ilvl w:val="0"/>
                <w:numId w:val="29"/>
              </w:numPr>
              <w:rPr>
                <w:rFonts w:eastAsia="Times New Roman" w:cs="Calibri"/>
                <w:kern w:val="0"/>
                <w:lang w:eastAsia="en-GB"/>
                <w14:ligatures w14:val="none"/>
              </w:rPr>
            </w:pPr>
            <w:r w:rsidRPr="00C6016D">
              <w:rPr>
                <w:rFonts w:eastAsia="Times New Roman" w:cs="Calibri"/>
                <w:kern w:val="0"/>
                <w:lang w:eastAsia="en-GB"/>
                <w14:ligatures w14:val="none"/>
              </w:rPr>
              <w:t>Children who are discussed at SYV Panel who aren’t currently open to CBC – a Safeguarding Referral/BIC 100 is completed, and children are screened on the MASH.</w:t>
            </w:r>
          </w:p>
          <w:p w14:paraId="06D34431" w14:textId="77777777" w:rsidR="00E65FF6" w:rsidRDefault="00E65FF6" w:rsidP="00DC4E62">
            <w:pPr>
              <w:rPr>
                <w:rFonts w:eastAsia="Times New Roman" w:cs="Calibri"/>
                <w:kern w:val="0"/>
                <w:lang w:eastAsia="en-GB"/>
                <w14:ligatures w14:val="none"/>
              </w:rPr>
            </w:pPr>
          </w:p>
        </w:tc>
      </w:tr>
      <w:tr w:rsidR="00E65FF6" w14:paraId="4FAA48B0" w14:textId="77777777">
        <w:tc>
          <w:tcPr>
            <w:tcW w:w="4508" w:type="dxa"/>
          </w:tcPr>
          <w:p w14:paraId="3151F32E" w14:textId="77777777" w:rsidR="00C6016D" w:rsidRPr="00C6016D" w:rsidRDefault="00C6016D" w:rsidP="00C6016D">
            <w:pPr>
              <w:rPr>
                <w:rFonts w:eastAsia="Times New Roman" w:cs="Calibri"/>
                <w:kern w:val="0"/>
                <w:lang w:eastAsia="en-GB"/>
                <w14:ligatures w14:val="none"/>
              </w:rPr>
            </w:pPr>
            <w:r w:rsidRPr="00C6016D">
              <w:rPr>
                <w:rFonts w:eastAsia="Times New Roman" w:cs="Calibri"/>
                <w:b/>
                <w:bCs/>
                <w:kern w:val="0"/>
                <w:lang w:eastAsia="en-GB"/>
                <w14:ligatures w14:val="none"/>
              </w:rPr>
              <w:t>Recommendation 4</w:t>
            </w:r>
          </w:p>
          <w:p w14:paraId="2FEB0301" w14:textId="77777777" w:rsidR="00C6016D" w:rsidRPr="00C6016D" w:rsidRDefault="00C6016D" w:rsidP="00C6016D">
            <w:pPr>
              <w:rPr>
                <w:rFonts w:eastAsia="Times New Roman" w:cs="Calibri"/>
                <w:kern w:val="0"/>
                <w:lang w:eastAsia="en-GB"/>
                <w14:ligatures w14:val="none"/>
              </w:rPr>
            </w:pPr>
            <w:r w:rsidRPr="00C6016D">
              <w:rPr>
                <w:rFonts w:eastAsia="Times New Roman" w:cs="Calibri"/>
                <w:kern w:val="0"/>
                <w:lang w:eastAsia="en-GB"/>
                <w14:ligatures w14:val="none"/>
              </w:rPr>
              <w:t>Consider how best to ensure that schools and alternative provisions are key partners in responding to children at risk of SYV and exploitation.</w:t>
            </w:r>
          </w:p>
          <w:p w14:paraId="65DF084A" w14:textId="77777777" w:rsidR="00C6016D" w:rsidRPr="00C6016D" w:rsidRDefault="00C6016D" w:rsidP="00434E82">
            <w:pPr>
              <w:numPr>
                <w:ilvl w:val="0"/>
                <w:numId w:val="30"/>
              </w:numPr>
              <w:rPr>
                <w:rFonts w:eastAsia="Times New Roman" w:cs="Calibri"/>
                <w:kern w:val="0"/>
                <w:lang w:eastAsia="en-GB"/>
                <w14:ligatures w14:val="none"/>
              </w:rPr>
            </w:pPr>
            <w:r w:rsidRPr="00C6016D">
              <w:rPr>
                <w:rFonts w:eastAsia="Times New Roman" w:cs="Calibri"/>
                <w:kern w:val="0"/>
                <w:lang w:eastAsia="en-GB"/>
                <w14:ligatures w14:val="none"/>
              </w:rPr>
              <w:t>Develop the commitment in schools to hold some of the most vulnerable children and avoid exclusion</w:t>
            </w:r>
          </w:p>
          <w:p w14:paraId="384DF14D" w14:textId="77777777" w:rsidR="00C6016D" w:rsidRPr="00C6016D" w:rsidRDefault="00C6016D" w:rsidP="00434E82">
            <w:pPr>
              <w:numPr>
                <w:ilvl w:val="0"/>
                <w:numId w:val="30"/>
              </w:numPr>
              <w:rPr>
                <w:rFonts w:eastAsia="Times New Roman" w:cs="Calibri"/>
                <w:kern w:val="0"/>
                <w:lang w:eastAsia="en-GB"/>
                <w14:ligatures w14:val="none"/>
              </w:rPr>
            </w:pPr>
            <w:r w:rsidRPr="00C6016D">
              <w:rPr>
                <w:rFonts w:eastAsia="Times New Roman" w:cs="Calibri"/>
                <w:kern w:val="0"/>
                <w:lang w:eastAsia="en-GB"/>
                <w14:ligatures w14:val="none"/>
              </w:rPr>
              <w:t xml:space="preserve">Develop a clear multi-agency, offer to children who at risk of </w:t>
            </w:r>
            <w:r w:rsidRPr="00C6016D">
              <w:rPr>
                <w:rFonts w:eastAsia="Times New Roman" w:cs="Calibri"/>
                <w:kern w:val="0"/>
                <w:lang w:eastAsia="en-GB"/>
                <w14:ligatures w14:val="none"/>
              </w:rPr>
              <w:lastRenderedPageBreak/>
              <w:t xml:space="preserve">exclusion or who are excluded to mitigate their vulnerability to Serious Youth Violence. </w:t>
            </w:r>
          </w:p>
          <w:p w14:paraId="7E579E78" w14:textId="77777777" w:rsidR="00E65FF6" w:rsidRDefault="00E65FF6" w:rsidP="00DC4E62">
            <w:pPr>
              <w:rPr>
                <w:rFonts w:eastAsia="Times New Roman" w:cs="Calibri"/>
                <w:kern w:val="0"/>
                <w:lang w:eastAsia="en-GB"/>
                <w14:ligatures w14:val="none"/>
              </w:rPr>
            </w:pPr>
          </w:p>
        </w:tc>
        <w:tc>
          <w:tcPr>
            <w:tcW w:w="4508" w:type="dxa"/>
          </w:tcPr>
          <w:p w14:paraId="0513D2D5" w14:textId="77777777" w:rsidR="00A42482" w:rsidRPr="00A42482" w:rsidRDefault="00A42482" w:rsidP="00434E82">
            <w:pPr>
              <w:numPr>
                <w:ilvl w:val="0"/>
                <w:numId w:val="31"/>
              </w:numPr>
              <w:rPr>
                <w:rFonts w:eastAsia="Times New Roman" w:cs="Calibri"/>
                <w:kern w:val="0"/>
                <w:lang w:eastAsia="en-GB"/>
                <w14:ligatures w14:val="none"/>
              </w:rPr>
            </w:pPr>
            <w:r w:rsidRPr="00A42482">
              <w:rPr>
                <w:rFonts w:eastAsia="Times New Roman" w:cs="Calibri"/>
                <w:kern w:val="0"/>
                <w:lang w:eastAsia="en-GB"/>
                <w14:ligatures w14:val="none"/>
              </w:rPr>
              <w:lastRenderedPageBreak/>
              <w:t>School Navigator Programme - Wingman Mentors</w:t>
            </w:r>
          </w:p>
          <w:p w14:paraId="648BE601" w14:textId="6F9DEB73" w:rsidR="00A42482" w:rsidRDefault="00A42482" w:rsidP="00434E82">
            <w:pPr>
              <w:numPr>
                <w:ilvl w:val="0"/>
                <w:numId w:val="31"/>
              </w:numPr>
              <w:rPr>
                <w:rFonts w:eastAsia="Times New Roman" w:cs="Calibri"/>
                <w:kern w:val="0"/>
                <w:lang w:eastAsia="en-GB"/>
                <w14:ligatures w14:val="none"/>
              </w:rPr>
            </w:pPr>
            <w:r w:rsidRPr="00A42482">
              <w:rPr>
                <w:rFonts w:eastAsia="Times New Roman" w:cs="Calibri"/>
                <w:kern w:val="0"/>
                <w:lang w:eastAsia="en-GB"/>
                <w14:ligatures w14:val="none"/>
              </w:rPr>
              <w:t>School Navigator Programme - You Turn Futures</w:t>
            </w:r>
          </w:p>
          <w:p w14:paraId="7F6C8C83" w14:textId="01FB64F9" w:rsidR="00A42482" w:rsidRPr="00A42482" w:rsidRDefault="00A42482" w:rsidP="00434E82">
            <w:pPr>
              <w:numPr>
                <w:ilvl w:val="0"/>
                <w:numId w:val="31"/>
              </w:numPr>
              <w:rPr>
                <w:rFonts w:eastAsia="Times New Roman" w:cs="Calibri"/>
                <w:kern w:val="0"/>
                <w:lang w:eastAsia="en-GB"/>
                <w14:ligatures w14:val="none"/>
              </w:rPr>
            </w:pPr>
            <w:r>
              <w:rPr>
                <w:rFonts w:eastAsia="Times New Roman" w:cs="Calibri"/>
                <w:kern w:val="0"/>
                <w:lang w:eastAsia="en-GB"/>
                <w14:ligatures w14:val="none"/>
              </w:rPr>
              <w:t xml:space="preserve">Possible Mentors </w:t>
            </w:r>
            <w:r w:rsidR="000E1356">
              <w:rPr>
                <w:rFonts w:eastAsia="Times New Roman" w:cs="Calibri"/>
                <w:kern w:val="0"/>
                <w:lang w:eastAsia="en-GB"/>
                <w14:ligatures w14:val="none"/>
              </w:rPr>
              <w:t>in</w:t>
            </w:r>
            <w:r>
              <w:rPr>
                <w:rFonts w:eastAsia="Times New Roman" w:cs="Calibri"/>
                <w:kern w:val="0"/>
                <w:lang w:eastAsia="en-GB"/>
                <w14:ligatures w14:val="none"/>
              </w:rPr>
              <w:t xml:space="preserve"> Violence Programme (Funding </w:t>
            </w:r>
            <w:r w:rsidR="001921D0">
              <w:rPr>
                <w:rFonts w:eastAsia="Times New Roman" w:cs="Calibri"/>
                <w:kern w:val="0"/>
                <w:lang w:eastAsia="en-GB"/>
                <w14:ligatures w14:val="none"/>
              </w:rPr>
              <w:t>being applied for)</w:t>
            </w:r>
          </w:p>
          <w:p w14:paraId="02674AB9" w14:textId="77777777" w:rsidR="00E65FF6" w:rsidRDefault="00E65FF6" w:rsidP="00DC4E62">
            <w:pPr>
              <w:rPr>
                <w:rFonts w:eastAsia="Times New Roman" w:cs="Calibri"/>
                <w:kern w:val="0"/>
                <w:lang w:eastAsia="en-GB"/>
                <w14:ligatures w14:val="none"/>
              </w:rPr>
            </w:pPr>
          </w:p>
        </w:tc>
      </w:tr>
    </w:tbl>
    <w:p w14:paraId="007C7AB9" w14:textId="77777777" w:rsidR="00DC4E62" w:rsidRPr="00477942" w:rsidRDefault="00DC4E62" w:rsidP="00DC4E62">
      <w:pPr>
        <w:spacing w:after="0" w:line="240" w:lineRule="auto"/>
        <w:rPr>
          <w:rFonts w:eastAsia="Times New Roman" w:cs="Times New Roman"/>
          <w:kern w:val="0"/>
          <w:lang w:eastAsia="en-GB"/>
          <w14:ligatures w14:val="none"/>
        </w:rPr>
      </w:pPr>
    </w:p>
    <w:p w14:paraId="427CCC52" w14:textId="633A7797" w:rsidR="00DC4E62" w:rsidRDefault="00DC4E62" w:rsidP="00DC4E62">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In relation to the Pan Bedfordshire Exploitation and Serious Violence Strategy, the Bedfordshire VERU commissioned Crest Advisory Services to develop and produce th</w:t>
      </w:r>
      <w:r w:rsidR="002D517F">
        <w:rPr>
          <w:rFonts w:eastAsia="Times New Roman" w:cs="Calibri"/>
          <w:kern w:val="0"/>
          <w:lang w:eastAsia="en-GB"/>
          <w14:ligatures w14:val="none"/>
        </w:rPr>
        <w:t>e revised document that has now been published.</w:t>
      </w:r>
    </w:p>
    <w:p w14:paraId="21B8EF32" w14:textId="77777777" w:rsidR="002D74D9" w:rsidRDefault="002D74D9" w:rsidP="00DC4E62">
      <w:pPr>
        <w:spacing w:after="0" w:line="240" w:lineRule="auto"/>
        <w:rPr>
          <w:rFonts w:eastAsia="Times New Roman" w:cs="Calibri"/>
          <w:kern w:val="0"/>
          <w:lang w:eastAsia="en-GB"/>
          <w14:ligatures w14:val="none"/>
        </w:rPr>
      </w:pPr>
    </w:p>
    <w:p w14:paraId="451CF11A" w14:textId="127B5937" w:rsidR="002D74D9" w:rsidRPr="002D74D9" w:rsidRDefault="002D74D9" w:rsidP="00DC4E62">
      <w:pPr>
        <w:spacing w:after="0" w:line="240" w:lineRule="auto"/>
        <w:rPr>
          <w:rFonts w:eastAsia="Aptos" w:cs="Calibri"/>
        </w:rPr>
      </w:pPr>
      <w:r w:rsidRPr="002D74D9">
        <w:rPr>
          <w:rFonts w:eastAsia="Aptos" w:cs="Calibri"/>
        </w:rPr>
        <w:t>Exploitation themed training: 99 local practitioners attended Exploitation themed learning events. 37% rated their knowledge as good, or very good pre-training, rising to 97% post training. 1600 completed exploitation themed eLearning.</w:t>
      </w:r>
    </w:p>
    <w:p w14:paraId="11695E9D" w14:textId="77777777" w:rsidR="00DC4E62" w:rsidRPr="00477942" w:rsidRDefault="00DC4E62" w:rsidP="004D69A0">
      <w:pPr>
        <w:spacing w:after="0" w:line="240" w:lineRule="auto"/>
        <w:rPr>
          <w:rFonts w:ascii="Calibri" w:eastAsia="Aptos" w:hAnsi="Calibri" w:cs="Calibri"/>
        </w:rPr>
      </w:pPr>
    </w:p>
    <w:p w14:paraId="61C6C43A" w14:textId="77777777" w:rsidR="00720540" w:rsidRPr="00477942" w:rsidRDefault="00720540" w:rsidP="00720540">
      <w:pPr>
        <w:spacing w:after="0" w:line="240" w:lineRule="auto"/>
        <w:rPr>
          <w:rFonts w:eastAsia="Times New Roman" w:cs="Calibri"/>
          <w:b/>
          <w:bCs/>
          <w:kern w:val="0"/>
          <w:lang w:eastAsia="en-GB"/>
          <w14:ligatures w14:val="none"/>
        </w:rPr>
      </w:pPr>
      <w:r w:rsidRPr="00477942">
        <w:rPr>
          <w:rFonts w:eastAsia="Times New Roman" w:cs="Calibri"/>
          <w:b/>
          <w:bCs/>
          <w:kern w:val="0"/>
          <w:lang w:eastAsia="en-GB"/>
          <w14:ligatures w14:val="none"/>
        </w:rPr>
        <w:t>CBSCP Re-Referrals Audit:</w:t>
      </w:r>
    </w:p>
    <w:p w14:paraId="2162E19A" w14:textId="77777777" w:rsidR="00720540" w:rsidRPr="00477942" w:rsidRDefault="00720540" w:rsidP="00720540">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Following the local learning review for a family known as Family D, it was agreed to hold a multi-agency audit in relation to cases that had been closed by Children’s Social Care/Stepped down but then had been re-referred within a 12-month period.</w:t>
      </w:r>
    </w:p>
    <w:p w14:paraId="6975A670" w14:textId="77777777" w:rsidR="00720540" w:rsidRPr="00477942" w:rsidRDefault="00720540" w:rsidP="00720540">
      <w:pPr>
        <w:spacing w:after="0" w:line="240" w:lineRule="auto"/>
        <w:rPr>
          <w:rFonts w:eastAsia="Times New Roman" w:cs="Calibri"/>
          <w:b/>
          <w:bCs/>
          <w:kern w:val="0"/>
          <w:lang w:eastAsia="en-GB"/>
          <w14:ligatures w14:val="none"/>
        </w:rPr>
      </w:pPr>
    </w:p>
    <w:p w14:paraId="617EFA31" w14:textId="77777777" w:rsidR="00720540" w:rsidRPr="00477942" w:rsidRDefault="00720540" w:rsidP="00720540">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 xml:space="preserve">In relation to areas of good practice, there was generally good involvement and information sharing between multi-agencies and good engagement with families and evidence around gaining consent. Appropriate plans and interventions were put in place (but there should be more checking and assurance that plans interventions were complete before closing a case). There was good involvement from the Traveller Liaison Service when required. There were some positive examples of when the voice of the child and the children’s lived experience were obtained. Lastly there were some examples of joined up working with joint visits being carried out. </w:t>
      </w:r>
    </w:p>
    <w:p w14:paraId="5F510C08" w14:textId="77777777" w:rsidR="00720540" w:rsidRPr="00477942" w:rsidRDefault="00720540" w:rsidP="00720540">
      <w:pPr>
        <w:spacing w:after="0" w:line="240" w:lineRule="auto"/>
        <w:rPr>
          <w:rFonts w:eastAsia="Times New Roman" w:cs="Calibri"/>
          <w:b/>
          <w:bCs/>
          <w:kern w:val="0"/>
          <w:lang w:eastAsia="en-GB"/>
          <w14:ligatures w14:val="none"/>
        </w:rPr>
      </w:pPr>
    </w:p>
    <w:p w14:paraId="43476DC4" w14:textId="77777777" w:rsidR="00720540" w:rsidRPr="00477942" w:rsidRDefault="00720540" w:rsidP="00720540">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In relation to areas for development, it was felt that although multi-agency information sharing was good, this also needed to lead to more multi-agency decision-making. In some cases, parents didn’t understand the decision for their case to be closed and in some cases although exit plans were produced/in place, these were not always communicated well with other agencies and there were no contingency plans or discussions about what would happen should the interventions not take place. Some actions were more reactive than proactive, and more work needed to be done to engage/involve fathers and also understand the impact of culture.</w:t>
      </w:r>
    </w:p>
    <w:p w14:paraId="264AD065" w14:textId="77777777" w:rsidR="00720540" w:rsidRPr="00477942" w:rsidRDefault="00720540" w:rsidP="00720540">
      <w:pPr>
        <w:spacing w:after="0" w:line="240" w:lineRule="auto"/>
        <w:rPr>
          <w:rFonts w:eastAsia="Times New Roman" w:cs="Calibri"/>
          <w:b/>
          <w:bCs/>
          <w:kern w:val="0"/>
          <w:lang w:eastAsia="en-GB"/>
          <w14:ligatures w14:val="none"/>
        </w:rPr>
      </w:pPr>
    </w:p>
    <w:p w14:paraId="1F298484" w14:textId="77777777" w:rsidR="00720540" w:rsidRPr="00477942" w:rsidRDefault="00720540" w:rsidP="00720540">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The following themes areas of learning were shared and disseminated by partner agencies and progress has been monitored through the Case Review Group.</w:t>
      </w:r>
    </w:p>
    <w:p w14:paraId="16CD7CEB" w14:textId="77777777" w:rsidR="00720540" w:rsidRPr="00477942" w:rsidRDefault="00720540" w:rsidP="00720540">
      <w:pPr>
        <w:spacing w:after="0" w:line="240" w:lineRule="auto"/>
        <w:rPr>
          <w:rFonts w:eastAsia="Times New Roman" w:cs="Calibri"/>
          <w:kern w:val="0"/>
          <w:lang w:eastAsia="en-GB"/>
          <w14:ligatures w14:val="none"/>
        </w:rPr>
      </w:pPr>
    </w:p>
    <w:p w14:paraId="643E095A" w14:textId="77777777" w:rsidR="00720540" w:rsidRPr="00477942" w:rsidRDefault="00720540" w:rsidP="00434E82">
      <w:pPr>
        <w:numPr>
          <w:ilvl w:val="0"/>
          <w:numId w:val="6"/>
        </w:numPr>
        <w:spacing w:after="0" w:line="240" w:lineRule="auto"/>
        <w:contextualSpacing/>
        <w:rPr>
          <w:rFonts w:eastAsia="Calibri" w:cs="Calibri"/>
          <w:kern w:val="0"/>
          <w14:ligatures w14:val="none"/>
        </w:rPr>
      </w:pPr>
      <w:r w:rsidRPr="00477942">
        <w:rPr>
          <w:rFonts w:eastAsia="Calibri" w:cs="Calibri"/>
          <w:kern w:val="0"/>
          <w14:ligatures w14:val="none"/>
        </w:rPr>
        <w:t>Exit Planning and the need to discuss and have contingency plans in place.</w:t>
      </w:r>
    </w:p>
    <w:p w14:paraId="3AF9B490" w14:textId="77777777" w:rsidR="00720540" w:rsidRPr="00477942" w:rsidRDefault="00720540" w:rsidP="00434E82">
      <w:pPr>
        <w:numPr>
          <w:ilvl w:val="0"/>
          <w:numId w:val="6"/>
        </w:numPr>
        <w:spacing w:after="0" w:line="240" w:lineRule="auto"/>
        <w:contextualSpacing/>
        <w:rPr>
          <w:rFonts w:eastAsia="Calibri" w:cs="Calibri"/>
          <w:kern w:val="0"/>
          <w14:ligatures w14:val="none"/>
        </w:rPr>
      </w:pPr>
      <w:r w:rsidRPr="00477942">
        <w:rPr>
          <w:rFonts w:eastAsia="Calibri" w:cs="Calibri"/>
          <w:kern w:val="0"/>
          <w14:ligatures w14:val="none"/>
        </w:rPr>
        <w:t>Awareness of the need to consider a family’s culture and how it impacts on their family.</w:t>
      </w:r>
    </w:p>
    <w:p w14:paraId="1890BD40" w14:textId="77777777" w:rsidR="00720540" w:rsidRPr="00477942" w:rsidRDefault="00720540" w:rsidP="00434E82">
      <w:pPr>
        <w:numPr>
          <w:ilvl w:val="0"/>
          <w:numId w:val="6"/>
        </w:numPr>
        <w:spacing w:after="0" w:line="240" w:lineRule="auto"/>
        <w:contextualSpacing/>
        <w:rPr>
          <w:rFonts w:eastAsia="Calibri" w:cs="Calibri"/>
          <w:kern w:val="0"/>
          <w14:ligatures w14:val="none"/>
        </w:rPr>
      </w:pPr>
      <w:r w:rsidRPr="00477942">
        <w:rPr>
          <w:rFonts w:eastAsia="Calibri" w:cs="Calibri"/>
          <w:kern w:val="0"/>
          <w14:ligatures w14:val="none"/>
        </w:rPr>
        <w:t>The need to work with and engage with fathers and other adult males.</w:t>
      </w:r>
    </w:p>
    <w:p w14:paraId="03B8F7ED" w14:textId="77777777" w:rsidR="00720540" w:rsidRPr="00477942" w:rsidRDefault="00720540" w:rsidP="00434E82">
      <w:pPr>
        <w:numPr>
          <w:ilvl w:val="0"/>
          <w:numId w:val="6"/>
        </w:numPr>
        <w:spacing w:after="0" w:line="240" w:lineRule="auto"/>
        <w:contextualSpacing/>
        <w:rPr>
          <w:rFonts w:eastAsia="Calibri" w:cs="Calibri"/>
          <w:kern w:val="0"/>
          <w14:ligatures w14:val="none"/>
        </w:rPr>
      </w:pPr>
      <w:r w:rsidRPr="00477942">
        <w:rPr>
          <w:rFonts w:eastAsia="Calibri" w:cs="Calibri"/>
          <w:kern w:val="0"/>
          <w14:ligatures w14:val="none"/>
        </w:rPr>
        <w:t>Communications – the importance of feeding back to referrers and sharing information such as the outcome of assessments and strategy meetings with partners.</w:t>
      </w:r>
    </w:p>
    <w:p w14:paraId="6A0BF0FF" w14:textId="77777777" w:rsidR="00720540" w:rsidRPr="00477942" w:rsidRDefault="00720540" w:rsidP="00434E82">
      <w:pPr>
        <w:numPr>
          <w:ilvl w:val="0"/>
          <w:numId w:val="6"/>
        </w:numPr>
        <w:spacing w:after="0" w:line="240" w:lineRule="auto"/>
        <w:contextualSpacing/>
        <w:rPr>
          <w:rFonts w:eastAsia="Calibri" w:cs="Calibri"/>
          <w:kern w:val="0"/>
          <w14:ligatures w14:val="none"/>
        </w:rPr>
      </w:pPr>
      <w:r w:rsidRPr="00477942">
        <w:rPr>
          <w:rFonts w:eastAsia="Calibri" w:cs="Calibri"/>
          <w:kern w:val="0"/>
          <w14:ligatures w14:val="none"/>
        </w:rPr>
        <w:t>Development of Joint decision making as well as information sharing.</w:t>
      </w:r>
    </w:p>
    <w:p w14:paraId="672965CA" w14:textId="77777777" w:rsidR="00720540" w:rsidRPr="00477942" w:rsidRDefault="00720540" w:rsidP="00720540">
      <w:pPr>
        <w:spacing w:after="0" w:line="240" w:lineRule="auto"/>
        <w:rPr>
          <w:rFonts w:eastAsia="Aptos" w:cs="Calibri"/>
          <w:b/>
          <w:bCs/>
        </w:rPr>
      </w:pPr>
    </w:p>
    <w:p w14:paraId="2C5059CD" w14:textId="77777777" w:rsidR="004D69A0" w:rsidRPr="00477942" w:rsidRDefault="004D69A0" w:rsidP="004D69A0">
      <w:pPr>
        <w:spacing w:after="0" w:line="240" w:lineRule="auto"/>
        <w:rPr>
          <w:rFonts w:eastAsia="Times New Roman" w:cs="Calibri"/>
          <w:b/>
          <w:bCs/>
          <w:kern w:val="0"/>
          <w:lang w:eastAsia="en-GB"/>
          <w14:ligatures w14:val="none"/>
        </w:rPr>
      </w:pPr>
      <w:r w:rsidRPr="00477942">
        <w:rPr>
          <w:rFonts w:eastAsia="Times New Roman" w:cs="Calibri"/>
          <w:b/>
          <w:bCs/>
          <w:kern w:val="0"/>
          <w:lang w:eastAsia="en-GB"/>
          <w14:ligatures w14:val="none"/>
        </w:rPr>
        <w:t>Pan Bedfordshire Child Sexual Abuse – NSPCC Snapshot:</w:t>
      </w:r>
    </w:p>
    <w:p w14:paraId="2191CE4A" w14:textId="77777777" w:rsidR="004D69A0" w:rsidRPr="00477942" w:rsidRDefault="004D69A0" w:rsidP="004D69A0">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The NSPCC carried out a CSA Snapshot with the 3 Safeguarding Children Partnerships in Bedfordshire during 2024, The purpose of the CSA Snapshot was to support us in understanding the gaps and opportunities across the breadth of our local CSA offer.  The 3 Partnerships took part in a facilitated strategic session in May 2024. Attendees were asked to discuss several statements and reflect on the current response to CSA in Bedford Borough, Central Bedfordshire and Luton.</w:t>
      </w:r>
    </w:p>
    <w:p w14:paraId="71A3A4ED" w14:textId="77777777" w:rsidR="004D69A0" w:rsidRPr="00477942" w:rsidRDefault="004D69A0" w:rsidP="004D69A0">
      <w:pPr>
        <w:spacing w:after="0" w:line="240" w:lineRule="auto"/>
        <w:rPr>
          <w:rFonts w:eastAsia="Times New Roman" w:cs="Calibri"/>
          <w:kern w:val="0"/>
          <w:lang w:eastAsia="en-GB"/>
          <w14:ligatures w14:val="none"/>
        </w:rPr>
      </w:pPr>
    </w:p>
    <w:p w14:paraId="2DFB1335" w14:textId="77777777" w:rsidR="004D69A0" w:rsidRPr="00477942" w:rsidRDefault="004D69A0" w:rsidP="004D69A0">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 xml:space="preserve">Following the session, a survey containing the same statements was circulated across the relevant agencies. Responses were received from 6 professionals from health, children’s services/social care, education and probation sectors. </w:t>
      </w:r>
    </w:p>
    <w:p w14:paraId="141C9C84" w14:textId="77777777" w:rsidR="004D69A0" w:rsidRPr="00477942" w:rsidRDefault="004D69A0" w:rsidP="004D69A0">
      <w:pPr>
        <w:spacing w:after="0" w:line="240" w:lineRule="auto"/>
        <w:rPr>
          <w:rFonts w:eastAsia="Times New Roman" w:cs="Calibri"/>
          <w:kern w:val="0"/>
          <w:lang w:eastAsia="en-GB"/>
          <w14:ligatures w14:val="none"/>
        </w:rPr>
      </w:pPr>
    </w:p>
    <w:p w14:paraId="28AD39A3" w14:textId="77777777" w:rsidR="004D69A0" w:rsidRPr="00477942" w:rsidRDefault="004D69A0" w:rsidP="004D69A0">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Representatives from all three local authorities then took part in a final facilitated discussion.</w:t>
      </w:r>
    </w:p>
    <w:p w14:paraId="1888F936" w14:textId="77777777" w:rsidR="004D69A0" w:rsidRPr="00477942" w:rsidRDefault="004D69A0" w:rsidP="004D69A0">
      <w:pPr>
        <w:spacing w:after="0" w:line="240" w:lineRule="auto"/>
        <w:rPr>
          <w:rFonts w:eastAsia="Times New Roman" w:cs="Calibri"/>
          <w:kern w:val="0"/>
          <w:lang w:eastAsia="en-GB"/>
          <w14:ligatures w14:val="none"/>
        </w:rPr>
      </w:pPr>
    </w:p>
    <w:p w14:paraId="59CD3BAC" w14:textId="77777777" w:rsidR="004D69A0" w:rsidRPr="00477942" w:rsidRDefault="004D69A0" w:rsidP="004D69A0">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The summary reported concluded that:</w:t>
      </w:r>
    </w:p>
    <w:p w14:paraId="31771206" w14:textId="77777777" w:rsidR="004D69A0" w:rsidRPr="00477942" w:rsidRDefault="004D69A0" w:rsidP="004D69A0">
      <w:pPr>
        <w:spacing w:after="0" w:line="240" w:lineRule="auto"/>
        <w:rPr>
          <w:rFonts w:eastAsia="Times New Roman" w:cs="Calibri"/>
          <w:kern w:val="0"/>
          <w:lang w:eastAsia="en-GB"/>
          <w14:ligatures w14:val="none"/>
        </w:rPr>
      </w:pPr>
    </w:p>
    <w:p w14:paraId="3FFB302B" w14:textId="77777777" w:rsidR="004D69A0" w:rsidRPr="00477942" w:rsidRDefault="004D69A0" w:rsidP="004D69A0">
      <w:pPr>
        <w:spacing w:after="0" w:line="240" w:lineRule="auto"/>
        <w:rPr>
          <w:rFonts w:eastAsia="Times New Roman" w:cs="Calibri"/>
          <w:i/>
          <w:iCs/>
          <w:kern w:val="0"/>
          <w:lang w:eastAsia="en-GB"/>
          <w14:ligatures w14:val="none"/>
        </w:rPr>
      </w:pPr>
      <w:r w:rsidRPr="00477942">
        <w:rPr>
          <w:rFonts w:eastAsia="Times New Roman" w:cs="Calibri"/>
          <w:i/>
          <w:iCs/>
          <w:kern w:val="0"/>
          <w:lang w:eastAsia="en-GB"/>
          <w14:ligatures w14:val="none"/>
        </w:rPr>
        <w:t>“Overall, looking across the local response, there were examples of good practice and good multiagency working but a lack of shared understanding, focus and support meaning there is inconsistency. There is agreement in the reflections of those who attended the strategic session, and those professionals who completed the online survey. For example, it is evident that there has been some focus on CSE across Pan Bedfordshire, and this is an opportunity for that work to inform wider discussions about other types of CSA, including HSB, to move forward. HSB, in particular, was consistently highlighted as an area that is increasing in referrals and known incidents but a significant lack of shared understanding, joint approach prevention and support activity.</w:t>
      </w:r>
    </w:p>
    <w:p w14:paraId="2273C01C" w14:textId="77777777" w:rsidR="004D69A0" w:rsidRPr="00477942" w:rsidRDefault="004D69A0" w:rsidP="004D69A0">
      <w:pPr>
        <w:spacing w:after="0" w:line="240" w:lineRule="auto"/>
        <w:rPr>
          <w:rFonts w:eastAsia="Times New Roman" w:cs="Calibri"/>
          <w:i/>
          <w:iCs/>
          <w:kern w:val="0"/>
          <w:lang w:eastAsia="en-GB"/>
          <w14:ligatures w14:val="none"/>
        </w:rPr>
      </w:pPr>
      <w:r w:rsidRPr="00477942">
        <w:rPr>
          <w:rFonts w:eastAsia="Times New Roman" w:cs="Calibri"/>
          <w:i/>
          <w:iCs/>
          <w:kern w:val="0"/>
          <w:lang w:eastAsia="en-GB"/>
          <w14:ligatures w14:val="none"/>
        </w:rPr>
        <w:t>There are clearly areas for improvement and gaps in provision across Pan Bedfordshire, however there is also evidence of specialist expertise, some positive multi-agency working and a real desire to improve the system overall”.</w:t>
      </w:r>
    </w:p>
    <w:p w14:paraId="4D9DA785" w14:textId="77777777" w:rsidR="004D69A0" w:rsidRPr="00477942" w:rsidRDefault="004D69A0" w:rsidP="004D69A0">
      <w:pPr>
        <w:spacing w:after="0" w:line="240" w:lineRule="auto"/>
        <w:rPr>
          <w:rFonts w:eastAsia="Times New Roman" w:cs="Times New Roman"/>
          <w:i/>
          <w:iCs/>
          <w:kern w:val="0"/>
          <w:lang w:eastAsia="en-GB"/>
          <w14:ligatures w14:val="none"/>
        </w:rPr>
      </w:pPr>
    </w:p>
    <w:p w14:paraId="34307FBF" w14:textId="77777777" w:rsidR="004D69A0" w:rsidRPr="00477942" w:rsidRDefault="004D69A0" w:rsidP="004D69A0">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The report provided several recommendations for moving forward including:</w:t>
      </w:r>
    </w:p>
    <w:p w14:paraId="43A1817A" w14:textId="77777777" w:rsidR="004D69A0" w:rsidRPr="00477942" w:rsidRDefault="004D69A0" w:rsidP="004D69A0">
      <w:pPr>
        <w:spacing w:after="0" w:line="240" w:lineRule="auto"/>
        <w:rPr>
          <w:rFonts w:eastAsia="Times New Roman" w:cs="Calibri"/>
          <w:kern w:val="0"/>
          <w:lang w:eastAsia="en-GB"/>
          <w14:ligatures w14:val="none"/>
        </w:rPr>
      </w:pPr>
    </w:p>
    <w:p w14:paraId="25F0FCEA" w14:textId="77777777" w:rsidR="004D69A0" w:rsidRPr="00477942" w:rsidRDefault="004D69A0" w:rsidP="00434E82">
      <w:pPr>
        <w:numPr>
          <w:ilvl w:val="0"/>
          <w:numId w:val="5"/>
        </w:numPr>
        <w:spacing w:after="0" w:line="240" w:lineRule="auto"/>
        <w:contextualSpacing/>
        <w:rPr>
          <w:rFonts w:eastAsia="Aptos" w:cs="Calibri"/>
        </w:rPr>
      </w:pPr>
      <w:r w:rsidRPr="00477942">
        <w:rPr>
          <w:rFonts w:eastAsia="Aptos" w:cs="Calibri"/>
        </w:rPr>
        <w:t xml:space="preserve">Development of a CSA Strategy </w:t>
      </w:r>
    </w:p>
    <w:p w14:paraId="29235D73" w14:textId="77777777" w:rsidR="004D69A0" w:rsidRPr="00477942" w:rsidRDefault="004D69A0" w:rsidP="00434E82">
      <w:pPr>
        <w:numPr>
          <w:ilvl w:val="0"/>
          <w:numId w:val="5"/>
        </w:numPr>
        <w:spacing w:after="0" w:line="240" w:lineRule="auto"/>
        <w:contextualSpacing/>
        <w:rPr>
          <w:rFonts w:eastAsia="Aptos" w:cs="Calibri"/>
        </w:rPr>
      </w:pPr>
      <w:r w:rsidRPr="00477942">
        <w:rPr>
          <w:rFonts w:eastAsia="Aptos" w:cs="Calibri"/>
        </w:rPr>
        <w:t>Review of the CSA Training Offer</w:t>
      </w:r>
    </w:p>
    <w:p w14:paraId="4CC4C058" w14:textId="77777777" w:rsidR="004D69A0" w:rsidRPr="00477942" w:rsidRDefault="004D69A0" w:rsidP="00434E82">
      <w:pPr>
        <w:numPr>
          <w:ilvl w:val="0"/>
          <w:numId w:val="5"/>
        </w:numPr>
        <w:spacing w:after="0" w:line="240" w:lineRule="auto"/>
        <w:contextualSpacing/>
        <w:rPr>
          <w:rFonts w:eastAsia="Aptos" w:cs="Calibri"/>
        </w:rPr>
      </w:pPr>
      <w:r w:rsidRPr="00477942">
        <w:rPr>
          <w:rFonts w:eastAsia="Aptos" w:cs="Calibri"/>
        </w:rPr>
        <w:t>Review/development of CSA Performance Indicators</w:t>
      </w:r>
    </w:p>
    <w:p w14:paraId="3313D952" w14:textId="77777777" w:rsidR="004D69A0" w:rsidRPr="00477942" w:rsidRDefault="004D69A0" w:rsidP="00434E82">
      <w:pPr>
        <w:numPr>
          <w:ilvl w:val="0"/>
          <w:numId w:val="5"/>
        </w:numPr>
        <w:spacing w:after="0" w:line="240" w:lineRule="auto"/>
        <w:contextualSpacing/>
        <w:rPr>
          <w:rFonts w:eastAsia="Aptos" w:cs="Calibri"/>
        </w:rPr>
      </w:pPr>
      <w:r w:rsidRPr="00477942">
        <w:rPr>
          <w:rFonts w:eastAsia="Aptos" w:cs="Calibri"/>
        </w:rPr>
        <w:t>Awareness/Campaign messages</w:t>
      </w:r>
    </w:p>
    <w:p w14:paraId="1B84E11A" w14:textId="77777777" w:rsidR="004D69A0" w:rsidRPr="00477942" w:rsidRDefault="004D69A0" w:rsidP="00434E82">
      <w:pPr>
        <w:numPr>
          <w:ilvl w:val="0"/>
          <w:numId w:val="5"/>
        </w:numPr>
        <w:spacing w:after="0" w:line="240" w:lineRule="auto"/>
        <w:contextualSpacing/>
        <w:rPr>
          <w:rFonts w:eastAsia="Aptos" w:cs="Calibri"/>
        </w:rPr>
      </w:pPr>
      <w:r w:rsidRPr="00477942">
        <w:rPr>
          <w:rFonts w:eastAsia="Aptos" w:cs="Calibri"/>
        </w:rPr>
        <w:t>Review of PSCHE materials for schools</w:t>
      </w:r>
    </w:p>
    <w:p w14:paraId="53BC72C4" w14:textId="77777777" w:rsidR="004D69A0" w:rsidRPr="00477942" w:rsidRDefault="004D69A0" w:rsidP="00434E82">
      <w:pPr>
        <w:numPr>
          <w:ilvl w:val="0"/>
          <w:numId w:val="5"/>
        </w:numPr>
        <w:spacing w:after="0" w:line="240" w:lineRule="auto"/>
        <w:contextualSpacing/>
        <w:rPr>
          <w:rFonts w:eastAsia="Aptos" w:cs="Calibri"/>
        </w:rPr>
      </w:pPr>
      <w:r w:rsidRPr="00477942">
        <w:rPr>
          <w:rFonts w:eastAsia="Aptos" w:cs="Calibri"/>
        </w:rPr>
        <w:t xml:space="preserve">Mapping of support services and development of a directory </w:t>
      </w:r>
    </w:p>
    <w:p w14:paraId="7F8BBE9D" w14:textId="77777777" w:rsidR="004D69A0" w:rsidRPr="00477942" w:rsidRDefault="004D69A0" w:rsidP="00434E82">
      <w:pPr>
        <w:numPr>
          <w:ilvl w:val="0"/>
          <w:numId w:val="5"/>
        </w:numPr>
        <w:spacing w:after="0" w:line="240" w:lineRule="auto"/>
        <w:contextualSpacing/>
        <w:rPr>
          <w:rFonts w:eastAsia="Aptos" w:cs="Calibri"/>
        </w:rPr>
      </w:pPr>
      <w:r w:rsidRPr="00477942">
        <w:rPr>
          <w:rFonts w:eastAsia="Aptos" w:cs="Calibri"/>
        </w:rPr>
        <w:t>Review of Harmful Sexual Behaviours (HSB) response</w:t>
      </w:r>
    </w:p>
    <w:p w14:paraId="2F1C7F14" w14:textId="77777777" w:rsidR="004D69A0" w:rsidRPr="00477942" w:rsidRDefault="004D69A0" w:rsidP="004D69A0">
      <w:pPr>
        <w:spacing w:after="0" w:line="240" w:lineRule="auto"/>
        <w:rPr>
          <w:rFonts w:eastAsia="Times New Roman" w:cs="Calibri"/>
          <w:kern w:val="0"/>
          <w:lang w:eastAsia="en-GB"/>
          <w14:ligatures w14:val="none"/>
        </w:rPr>
      </w:pPr>
    </w:p>
    <w:p w14:paraId="7343E76C" w14:textId="523464BF" w:rsidR="004D69A0" w:rsidRPr="00477942" w:rsidRDefault="004D69A0" w:rsidP="004D69A0">
      <w:pPr>
        <w:spacing w:after="0" w:line="240" w:lineRule="auto"/>
        <w:rPr>
          <w:rFonts w:eastAsia="Times New Roman" w:cs="Calibri"/>
          <w:kern w:val="0"/>
          <w:lang w:eastAsia="en-GB"/>
          <w14:ligatures w14:val="none"/>
        </w:rPr>
      </w:pPr>
      <w:r w:rsidRPr="00DB3407">
        <w:rPr>
          <w:rFonts w:eastAsia="Times New Roman" w:cs="Calibri"/>
          <w:kern w:val="0"/>
          <w:lang w:eastAsia="en-GB"/>
          <w14:ligatures w14:val="none"/>
        </w:rPr>
        <w:t>A</w:t>
      </w:r>
      <w:r w:rsidRPr="00477942">
        <w:rPr>
          <w:rFonts w:eastAsia="Times New Roman" w:cs="Calibri"/>
          <w:kern w:val="0"/>
          <w:lang w:eastAsia="en-GB"/>
          <w14:ligatures w14:val="none"/>
        </w:rPr>
        <w:t xml:space="preserve"> Pan Bed</w:t>
      </w:r>
      <w:r w:rsidRPr="00DB3407">
        <w:rPr>
          <w:rFonts w:eastAsia="Times New Roman" w:cs="Calibri"/>
          <w:kern w:val="0"/>
          <w:lang w:eastAsia="en-GB"/>
          <w14:ligatures w14:val="none"/>
        </w:rPr>
        <w:t>fordshire</w:t>
      </w:r>
      <w:r w:rsidRPr="00477942">
        <w:rPr>
          <w:rFonts w:eastAsia="Times New Roman" w:cs="Calibri"/>
          <w:kern w:val="0"/>
          <w:lang w:eastAsia="en-GB"/>
          <w14:ligatures w14:val="none"/>
        </w:rPr>
        <w:t xml:space="preserve"> C</w:t>
      </w:r>
      <w:r w:rsidRPr="00DB3407">
        <w:rPr>
          <w:rFonts w:eastAsia="Times New Roman" w:cs="Calibri"/>
          <w:kern w:val="0"/>
          <w:lang w:eastAsia="en-GB"/>
          <w14:ligatures w14:val="none"/>
        </w:rPr>
        <w:t xml:space="preserve">hild </w:t>
      </w:r>
      <w:r w:rsidRPr="00477942">
        <w:rPr>
          <w:rFonts w:eastAsia="Times New Roman" w:cs="Calibri"/>
          <w:kern w:val="0"/>
          <w:lang w:eastAsia="en-GB"/>
          <w14:ligatures w14:val="none"/>
        </w:rPr>
        <w:t>S</w:t>
      </w:r>
      <w:r w:rsidRPr="00DB3407">
        <w:rPr>
          <w:rFonts w:eastAsia="Times New Roman" w:cs="Calibri"/>
          <w:kern w:val="0"/>
          <w:lang w:eastAsia="en-GB"/>
          <w14:ligatures w14:val="none"/>
        </w:rPr>
        <w:t xml:space="preserve">exual </w:t>
      </w:r>
      <w:r w:rsidRPr="00477942">
        <w:rPr>
          <w:rFonts w:eastAsia="Times New Roman" w:cs="Calibri"/>
          <w:kern w:val="0"/>
          <w:lang w:eastAsia="en-GB"/>
          <w14:ligatures w14:val="none"/>
        </w:rPr>
        <w:t>A</w:t>
      </w:r>
      <w:r w:rsidRPr="00DB3407">
        <w:rPr>
          <w:rFonts w:eastAsia="Times New Roman" w:cs="Calibri"/>
          <w:kern w:val="0"/>
          <w:lang w:eastAsia="en-GB"/>
          <w14:ligatures w14:val="none"/>
        </w:rPr>
        <w:t>buse</w:t>
      </w:r>
      <w:r w:rsidRPr="00477942">
        <w:rPr>
          <w:rFonts w:eastAsia="Times New Roman" w:cs="Calibri"/>
          <w:kern w:val="0"/>
          <w:lang w:eastAsia="en-GB"/>
          <w14:ligatures w14:val="none"/>
        </w:rPr>
        <w:t xml:space="preserve"> Steering Group </w:t>
      </w:r>
      <w:r w:rsidRPr="00DB3407">
        <w:rPr>
          <w:rFonts w:eastAsia="Times New Roman" w:cs="Calibri"/>
          <w:kern w:val="0"/>
          <w:lang w:eastAsia="en-GB"/>
          <w14:ligatures w14:val="none"/>
        </w:rPr>
        <w:t>has now been formed to oversee the Pan Bedfordshire CSA Strategy and Action Plan.</w:t>
      </w:r>
      <w:r w:rsidRPr="00477942">
        <w:rPr>
          <w:rFonts w:eastAsia="Times New Roman" w:cs="Calibri"/>
          <w:kern w:val="0"/>
          <w:lang w:eastAsia="en-GB"/>
          <w14:ligatures w14:val="none"/>
        </w:rPr>
        <w:t xml:space="preserve"> </w:t>
      </w:r>
      <w:r w:rsidR="006A2CD1">
        <w:rPr>
          <w:rFonts w:eastAsia="Times New Roman" w:cs="Calibri"/>
          <w:kern w:val="0"/>
          <w:lang w:eastAsia="en-GB"/>
          <w14:ligatures w14:val="none"/>
        </w:rPr>
        <w:t>A copy of the Strategy and action plan are available on request.</w:t>
      </w:r>
    </w:p>
    <w:p w14:paraId="6576CE9D" w14:textId="77777777" w:rsidR="003E2B60" w:rsidRDefault="003E2B60" w:rsidP="003E2B60">
      <w:pPr>
        <w:spacing w:after="0" w:line="240" w:lineRule="auto"/>
        <w:rPr>
          <w:rFonts w:ascii="Calibri" w:eastAsia="Times New Roman" w:hAnsi="Calibri" w:cs="Calibri"/>
          <w:b/>
          <w:bCs/>
          <w:kern w:val="0"/>
          <w:lang w:eastAsia="en-GB"/>
          <w14:ligatures w14:val="none"/>
        </w:rPr>
      </w:pPr>
      <w:bookmarkStart w:id="4" w:name="_Hlk199334225"/>
    </w:p>
    <w:p w14:paraId="0772BC90" w14:textId="42EBA71D" w:rsidR="003E2B60" w:rsidRPr="00477942" w:rsidRDefault="003E2B60" w:rsidP="003E2B60">
      <w:pPr>
        <w:spacing w:after="0" w:line="240" w:lineRule="auto"/>
        <w:rPr>
          <w:rFonts w:eastAsia="Times New Roman" w:cs="Calibri"/>
          <w:b/>
          <w:bCs/>
          <w:kern w:val="0"/>
          <w:lang w:eastAsia="en-GB"/>
          <w14:ligatures w14:val="none"/>
        </w:rPr>
      </w:pPr>
      <w:r w:rsidRPr="00477942">
        <w:rPr>
          <w:rFonts w:eastAsia="Times New Roman" w:cs="Calibri"/>
          <w:b/>
          <w:bCs/>
          <w:kern w:val="0"/>
          <w:lang w:eastAsia="en-GB"/>
          <w14:ligatures w14:val="none"/>
        </w:rPr>
        <w:t>Pan Bedfordshire Child to Parent Abuse Audit:</w:t>
      </w:r>
    </w:p>
    <w:p w14:paraId="57B886AD" w14:textId="77777777" w:rsidR="003E2B60" w:rsidRPr="00477942" w:rsidRDefault="003E2B60" w:rsidP="003E2B60">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 xml:space="preserve">In October 2024 the CBSCP carried out a Pan Bedfordshire Child to Parent Abuse Audit. </w:t>
      </w:r>
    </w:p>
    <w:p w14:paraId="5D1374AF" w14:textId="77777777" w:rsidR="003E2B60" w:rsidRPr="00477942" w:rsidRDefault="003E2B60" w:rsidP="003E2B60">
      <w:pPr>
        <w:spacing w:after="0" w:line="240" w:lineRule="auto"/>
        <w:rPr>
          <w:rFonts w:eastAsia="Times New Roman" w:cs="Calibri"/>
          <w:kern w:val="0"/>
          <w:lang w:eastAsia="en-GB"/>
          <w14:ligatures w14:val="none"/>
        </w:rPr>
      </w:pPr>
    </w:p>
    <w:p w14:paraId="4E70559C" w14:textId="77777777" w:rsidR="003E2B60" w:rsidRPr="00477942" w:rsidRDefault="003E2B60" w:rsidP="003E2B60">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In relation to good practice, there were some great examples of partnership working and positive interventions being put in place with children and families, in particular some intensive work from within Children’s Services, which led to the family’s situation improving to the extent that families could be stepped down from services.</w:t>
      </w:r>
    </w:p>
    <w:p w14:paraId="46911B10" w14:textId="77777777" w:rsidR="003E2B60" w:rsidRPr="00477942" w:rsidRDefault="003E2B60" w:rsidP="003E2B60">
      <w:pPr>
        <w:spacing w:after="0" w:line="240" w:lineRule="auto"/>
        <w:rPr>
          <w:rFonts w:eastAsia="Times New Roman" w:cs="Calibri"/>
          <w:kern w:val="0"/>
          <w:lang w:eastAsia="en-GB"/>
          <w14:ligatures w14:val="none"/>
        </w:rPr>
      </w:pPr>
    </w:p>
    <w:p w14:paraId="47C8030A" w14:textId="77777777" w:rsidR="003E2B60" w:rsidRPr="00477942" w:rsidRDefault="003E2B60" w:rsidP="003E2B60">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In relation to areas for further development, some examples were, the think family approach was sometimes missing and also the communication between adults and children’s services could be improved. Terminology/abbreviations used by children/adult services have different meanings and potential different consequences in terms of next steps and interventions for the child/young person/family. There was sometimes confusion about who the lead agency/practitioner was, and sometimes the thresholds between Children’s Services, Adult Services and MARAC do not align, making cases/risk difficult to understand. In relation to SEND/neurodiversity issues evident in some cases but appear to have not been fully explored regarding the impact on the young person’s violent behaviour.</w:t>
      </w:r>
    </w:p>
    <w:p w14:paraId="5F296262" w14:textId="77777777" w:rsidR="003E2B60" w:rsidRPr="00477942" w:rsidRDefault="003E2B60" w:rsidP="003E2B60">
      <w:pPr>
        <w:spacing w:after="0" w:line="240" w:lineRule="auto"/>
        <w:rPr>
          <w:rFonts w:eastAsia="Times New Roman" w:cs="Calibri"/>
          <w:kern w:val="0"/>
          <w:lang w:eastAsia="en-GB"/>
          <w14:ligatures w14:val="none"/>
        </w:rPr>
      </w:pPr>
    </w:p>
    <w:p w14:paraId="51B03BF1" w14:textId="7E4D9CA3" w:rsidR="003E2B60" w:rsidRPr="000D223A" w:rsidRDefault="003E2B60" w:rsidP="003E2B60">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The audit identified several questions for discussion by the 3 Bedfordshire Partnerships</w:t>
      </w:r>
      <w:r w:rsidR="00B54CE2" w:rsidRPr="000D223A">
        <w:rPr>
          <w:rFonts w:eastAsia="Times New Roman" w:cs="Calibri"/>
          <w:kern w:val="0"/>
          <w:lang w:eastAsia="en-GB"/>
          <w14:ligatures w14:val="none"/>
        </w:rPr>
        <w:t>:</w:t>
      </w:r>
    </w:p>
    <w:p w14:paraId="622FA1E8" w14:textId="77777777" w:rsidR="00B54CE2" w:rsidRPr="000D223A" w:rsidRDefault="00B54CE2" w:rsidP="003E2B60">
      <w:pPr>
        <w:spacing w:after="0" w:line="240" w:lineRule="auto"/>
        <w:rPr>
          <w:rFonts w:eastAsia="Times New Roman" w:cs="Calibri"/>
          <w:kern w:val="0"/>
          <w:lang w:eastAsia="en-GB"/>
          <w14:ligatures w14:val="none"/>
        </w:rPr>
      </w:pPr>
    </w:p>
    <w:p w14:paraId="476DD064" w14:textId="3EB37AF1" w:rsidR="00B54CE2" w:rsidRPr="000D223A" w:rsidRDefault="00B54CE2" w:rsidP="00434E82">
      <w:pPr>
        <w:pStyle w:val="ListParagraph"/>
        <w:numPr>
          <w:ilvl w:val="0"/>
          <w:numId w:val="8"/>
        </w:numPr>
        <w:spacing w:after="0" w:line="240" w:lineRule="auto"/>
        <w:rPr>
          <w:rFonts w:eastAsia="Times New Roman" w:cs="Calibri"/>
          <w:kern w:val="0"/>
          <w:lang w:eastAsia="en-GB"/>
          <w14:ligatures w14:val="none"/>
        </w:rPr>
      </w:pPr>
      <w:r w:rsidRPr="000D223A">
        <w:rPr>
          <w:rFonts w:eastAsia="Times New Roman" w:cs="Calibri"/>
          <w:kern w:val="0"/>
          <w:lang w:eastAsia="en-GB"/>
          <w14:ligatures w14:val="none"/>
        </w:rPr>
        <w:t>How do the Partnership/Partners improve the knowledge and understanding of Parent Carer Assessments</w:t>
      </w:r>
      <w:r w:rsidR="00566472" w:rsidRPr="000D223A">
        <w:rPr>
          <w:rFonts w:eastAsia="Times New Roman" w:cs="Calibri"/>
          <w:kern w:val="0"/>
          <w:lang w:eastAsia="en-GB"/>
          <w14:ligatures w14:val="none"/>
        </w:rPr>
        <w:t>?</w:t>
      </w:r>
    </w:p>
    <w:p w14:paraId="5AE0769D" w14:textId="0110E413" w:rsidR="00B54CE2" w:rsidRPr="000D223A" w:rsidRDefault="00B54CE2" w:rsidP="00434E82">
      <w:pPr>
        <w:pStyle w:val="ListParagraph"/>
        <w:numPr>
          <w:ilvl w:val="0"/>
          <w:numId w:val="8"/>
        </w:numPr>
        <w:spacing w:after="0" w:line="240" w:lineRule="auto"/>
        <w:rPr>
          <w:rFonts w:eastAsia="Times New Roman" w:cs="Calibri"/>
          <w:kern w:val="0"/>
          <w:lang w:eastAsia="en-GB"/>
          <w14:ligatures w14:val="none"/>
        </w:rPr>
      </w:pPr>
      <w:r w:rsidRPr="000D223A">
        <w:rPr>
          <w:rFonts w:eastAsia="Times New Roman" w:cs="Calibri"/>
          <w:kern w:val="0"/>
          <w:lang w:eastAsia="en-GB"/>
          <w14:ligatures w14:val="none"/>
        </w:rPr>
        <w:t>What are the Partnerships/Partners response to Harmful Sexual Behaviours</w:t>
      </w:r>
      <w:r w:rsidR="00566472" w:rsidRPr="000D223A">
        <w:rPr>
          <w:rFonts w:eastAsia="Times New Roman" w:cs="Calibri"/>
          <w:kern w:val="0"/>
          <w:lang w:eastAsia="en-GB"/>
          <w14:ligatures w14:val="none"/>
        </w:rPr>
        <w:t>?</w:t>
      </w:r>
    </w:p>
    <w:p w14:paraId="703344F1" w14:textId="2A176FCA" w:rsidR="00B54CE2" w:rsidRPr="000D223A" w:rsidRDefault="00B54CE2" w:rsidP="00434E82">
      <w:pPr>
        <w:pStyle w:val="ListParagraph"/>
        <w:numPr>
          <w:ilvl w:val="0"/>
          <w:numId w:val="8"/>
        </w:numPr>
        <w:spacing w:after="0" w:line="240" w:lineRule="auto"/>
        <w:rPr>
          <w:rFonts w:eastAsia="Times New Roman" w:cs="Calibri"/>
          <w:kern w:val="0"/>
          <w:lang w:eastAsia="en-GB"/>
          <w14:ligatures w14:val="none"/>
        </w:rPr>
      </w:pPr>
      <w:r w:rsidRPr="000D223A">
        <w:rPr>
          <w:rFonts w:eastAsia="Times New Roman" w:cs="Calibri"/>
          <w:kern w:val="0"/>
          <w:lang w:eastAsia="en-GB"/>
          <w14:ligatures w14:val="none"/>
        </w:rPr>
        <w:t>What are the Partnerships/Partners response to children and adults with ADHD</w:t>
      </w:r>
      <w:r w:rsidR="00566472" w:rsidRPr="000D223A">
        <w:rPr>
          <w:rFonts w:eastAsia="Times New Roman" w:cs="Calibri"/>
          <w:kern w:val="0"/>
          <w:lang w:eastAsia="en-GB"/>
          <w14:ligatures w14:val="none"/>
        </w:rPr>
        <w:t>?</w:t>
      </w:r>
    </w:p>
    <w:p w14:paraId="79E8BE91" w14:textId="77777777" w:rsidR="00B54CE2" w:rsidRPr="000D223A" w:rsidRDefault="00B54CE2" w:rsidP="00434E82">
      <w:pPr>
        <w:pStyle w:val="ListParagraph"/>
        <w:numPr>
          <w:ilvl w:val="0"/>
          <w:numId w:val="8"/>
        </w:numPr>
        <w:spacing w:after="0" w:line="240" w:lineRule="auto"/>
        <w:rPr>
          <w:rFonts w:eastAsia="Times New Roman" w:cs="Calibri"/>
          <w:kern w:val="0"/>
          <w:lang w:eastAsia="en-GB"/>
          <w14:ligatures w14:val="none"/>
        </w:rPr>
      </w:pPr>
      <w:r w:rsidRPr="000D223A">
        <w:rPr>
          <w:rFonts w:eastAsia="Times New Roman" w:cs="Calibri"/>
          <w:kern w:val="0"/>
          <w:lang w:eastAsia="en-GB"/>
          <w14:ligatures w14:val="none"/>
        </w:rPr>
        <w:t>Lack of self-criticism in the audits – how do the Partnerships and Partners address this?</w:t>
      </w:r>
    </w:p>
    <w:p w14:paraId="70E3CBF7" w14:textId="77777777" w:rsidR="00B54CE2" w:rsidRPr="000D223A" w:rsidRDefault="00B54CE2" w:rsidP="00434E82">
      <w:pPr>
        <w:pStyle w:val="ListParagraph"/>
        <w:numPr>
          <w:ilvl w:val="0"/>
          <w:numId w:val="8"/>
        </w:numPr>
        <w:spacing w:after="0" w:line="240" w:lineRule="auto"/>
        <w:rPr>
          <w:rFonts w:eastAsia="Times New Roman" w:cs="Calibri"/>
          <w:kern w:val="0"/>
          <w:lang w:eastAsia="en-GB"/>
          <w14:ligatures w14:val="none"/>
        </w:rPr>
      </w:pPr>
      <w:r w:rsidRPr="000D223A">
        <w:rPr>
          <w:rFonts w:eastAsia="Times New Roman" w:cs="Calibri"/>
          <w:kern w:val="0"/>
          <w:lang w:eastAsia="en-GB"/>
          <w14:ligatures w14:val="none"/>
        </w:rPr>
        <w:t>How do Partners improve their recording on systems &amp; interpretation of information shared?</w:t>
      </w:r>
    </w:p>
    <w:p w14:paraId="6E14B658" w14:textId="77777777" w:rsidR="00B54CE2" w:rsidRPr="000D223A" w:rsidRDefault="00B54CE2" w:rsidP="00434E82">
      <w:pPr>
        <w:pStyle w:val="ListParagraph"/>
        <w:numPr>
          <w:ilvl w:val="0"/>
          <w:numId w:val="8"/>
        </w:numPr>
        <w:spacing w:after="0" w:line="240" w:lineRule="auto"/>
        <w:rPr>
          <w:rFonts w:eastAsia="Times New Roman" w:cs="Calibri"/>
          <w:kern w:val="0"/>
          <w:lang w:eastAsia="en-GB"/>
          <w14:ligatures w14:val="none"/>
        </w:rPr>
      </w:pPr>
      <w:r w:rsidRPr="000D223A">
        <w:rPr>
          <w:rFonts w:eastAsia="Times New Roman" w:cs="Calibri"/>
          <w:kern w:val="0"/>
          <w:lang w:eastAsia="en-GB"/>
          <w14:ligatures w14:val="none"/>
        </w:rPr>
        <w:t>Communication between departments – how can this be improved?</w:t>
      </w:r>
    </w:p>
    <w:p w14:paraId="2BA4324D" w14:textId="77777777" w:rsidR="00B54CE2" w:rsidRPr="000D223A" w:rsidRDefault="00B54CE2" w:rsidP="00434E82">
      <w:pPr>
        <w:pStyle w:val="ListParagraph"/>
        <w:numPr>
          <w:ilvl w:val="0"/>
          <w:numId w:val="8"/>
        </w:numPr>
        <w:spacing w:after="0" w:line="240" w:lineRule="auto"/>
        <w:rPr>
          <w:rFonts w:eastAsia="Times New Roman" w:cs="Calibri"/>
          <w:kern w:val="0"/>
          <w:lang w:eastAsia="en-GB"/>
          <w14:ligatures w14:val="none"/>
        </w:rPr>
      </w:pPr>
      <w:r w:rsidRPr="000D223A">
        <w:rPr>
          <w:rFonts w:eastAsia="Times New Roman" w:cs="Calibri"/>
          <w:kern w:val="0"/>
          <w:lang w:eastAsia="en-GB"/>
          <w14:ligatures w14:val="none"/>
        </w:rPr>
        <w:t>What more does the Partnership/Partners need to do to promote/support the Think Family Approach?</w:t>
      </w:r>
    </w:p>
    <w:p w14:paraId="552A6FD7" w14:textId="77777777" w:rsidR="00B54CE2" w:rsidRPr="000D223A" w:rsidRDefault="00B54CE2" w:rsidP="00434E82">
      <w:pPr>
        <w:pStyle w:val="ListParagraph"/>
        <w:numPr>
          <w:ilvl w:val="0"/>
          <w:numId w:val="8"/>
        </w:numPr>
        <w:spacing w:after="0" w:line="240" w:lineRule="auto"/>
        <w:rPr>
          <w:rFonts w:eastAsia="Times New Roman" w:cs="Calibri"/>
          <w:kern w:val="0"/>
          <w:lang w:eastAsia="en-GB"/>
          <w14:ligatures w14:val="none"/>
        </w:rPr>
      </w:pPr>
      <w:r w:rsidRPr="000D223A">
        <w:rPr>
          <w:rFonts w:eastAsia="Times New Roman" w:cs="Calibri"/>
          <w:kern w:val="0"/>
          <w:lang w:eastAsia="en-GB"/>
          <w14:ligatures w14:val="none"/>
        </w:rPr>
        <w:t>Cultural issues still not being addressed – how do the Partnerships/Partners address this?</w:t>
      </w:r>
    </w:p>
    <w:p w14:paraId="581169F7" w14:textId="77777777" w:rsidR="00B54CE2" w:rsidRPr="000D223A" w:rsidRDefault="00B54CE2" w:rsidP="00434E82">
      <w:pPr>
        <w:pStyle w:val="ListParagraph"/>
        <w:numPr>
          <w:ilvl w:val="0"/>
          <w:numId w:val="8"/>
        </w:numPr>
        <w:spacing w:after="0" w:line="240" w:lineRule="auto"/>
        <w:rPr>
          <w:rFonts w:eastAsia="Times New Roman" w:cs="Calibri"/>
          <w:kern w:val="0"/>
          <w:lang w:eastAsia="en-GB"/>
          <w14:ligatures w14:val="none"/>
        </w:rPr>
      </w:pPr>
      <w:r w:rsidRPr="000D223A">
        <w:rPr>
          <w:rFonts w:eastAsia="Times New Roman" w:cs="Calibri"/>
          <w:kern w:val="0"/>
          <w:lang w:eastAsia="en-GB"/>
          <w14:ligatures w14:val="none"/>
        </w:rPr>
        <w:t xml:space="preserve">How do the Partnerships/Partners promote the Lead Practitioner and multi-agency chronologies? </w:t>
      </w:r>
    </w:p>
    <w:p w14:paraId="058B0FD9" w14:textId="5EF9EF96" w:rsidR="003E2B60" w:rsidRPr="000D223A" w:rsidRDefault="00B54CE2" w:rsidP="00434E82">
      <w:pPr>
        <w:pStyle w:val="ListParagraph"/>
        <w:numPr>
          <w:ilvl w:val="0"/>
          <w:numId w:val="8"/>
        </w:numPr>
        <w:spacing w:after="0" w:line="240" w:lineRule="auto"/>
        <w:rPr>
          <w:rFonts w:eastAsia="Times New Roman" w:cs="Calibri"/>
          <w:kern w:val="0"/>
          <w:lang w:eastAsia="en-GB"/>
          <w14:ligatures w14:val="none"/>
        </w:rPr>
      </w:pPr>
      <w:r w:rsidRPr="000D223A">
        <w:rPr>
          <w:rFonts w:eastAsia="Times New Roman" w:cs="Calibri"/>
          <w:kern w:val="0"/>
          <w:lang w:eastAsia="en-GB"/>
          <w14:ligatures w14:val="none"/>
        </w:rPr>
        <w:t>Any practice improvements will be based on systems learning and any individual practice gaps tasked for the relevant Partners to feedback to the Partnerships?</w:t>
      </w:r>
    </w:p>
    <w:p w14:paraId="22D6A2D9" w14:textId="77777777" w:rsidR="00566472" w:rsidRPr="000D223A" w:rsidRDefault="00566472" w:rsidP="00566472">
      <w:pPr>
        <w:spacing w:after="0" w:line="240" w:lineRule="auto"/>
        <w:rPr>
          <w:rFonts w:eastAsia="Times New Roman" w:cs="Calibri"/>
          <w:kern w:val="0"/>
          <w:lang w:eastAsia="en-GB"/>
          <w14:ligatures w14:val="none"/>
        </w:rPr>
      </w:pPr>
    </w:p>
    <w:p w14:paraId="786FED1C" w14:textId="5110BEE2" w:rsidR="00566472" w:rsidRPr="000D223A" w:rsidRDefault="00566472" w:rsidP="00566472">
      <w:pPr>
        <w:spacing w:after="0" w:line="240" w:lineRule="auto"/>
        <w:rPr>
          <w:rFonts w:eastAsia="Times New Roman" w:cs="Calibri"/>
          <w:kern w:val="0"/>
          <w:lang w:eastAsia="en-GB"/>
          <w14:ligatures w14:val="none"/>
        </w:rPr>
      </w:pPr>
      <w:r w:rsidRPr="000D223A">
        <w:rPr>
          <w:rFonts w:eastAsia="Times New Roman" w:cs="Calibri"/>
          <w:kern w:val="0"/>
          <w:lang w:eastAsia="en-GB"/>
          <w14:ligatures w14:val="none"/>
        </w:rPr>
        <w:t xml:space="preserve">The 3 </w:t>
      </w:r>
      <w:r w:rsidR="00471D6F" w:rsidRPr="000D223A">
        <w:rPr>
          <w:rFonts w:eastAsia="Times New Roman" w:cs="Calibri"/>
          <w:kern w:val="0"/>
          <w:lang w:eastAsia="en-GB"/>
          <w14:ligatures w14:val="none"/>
        </w:rPr>
        <w:t>Safeguarding</w:t>
      </w:r>
      <w:r w:rsidRPr="000D223A">
        <w:rPr>
          <w:rFonts w:eastAsia="Times New Roman" w:cs="Calibri"/>
          <w:kern w:val="0"/>
          <w:lang w:eastAsia="en-GB"/>
          <w14:ligatures w14:val="none"/>
        </w:rPr>
        <w:t xml:space="preserve"> Partnerships are currently </w:t>
      </w:r>
      <w:r w:rsidR="00471D6F" w:rsidRPr="000D223A">
        <w:rPr>
          <w:rFonts w:eastAsia="Times New Roman" w:cs="Calibri"/>
          <w:kern w:val="0"/>
          <w:lang w:eastAsia="en-GB"/>
          <w14:ligatures w14:val="none"/>
        </w:rPr>
        <w:t xml:space="preserve">reviewing these discussion questions with their partners through the Pan Bedfordshire Quality Assurance and Improvement </w:t>
      </w:r>
      <w:r w:rsidR="00804216" w:rsidRPr="000D223A">
        <w:rPr>
          <w:rFonts w:eastAsia="Times New Roman" w:cs="Calibri"/>
          <w:kern w:val="0"/>
          <w:lang w:eastAsia="en-GB"/>
          <w14:ligatures w14:val="none"/>
        </w:rPr>
        <w:t>Group;</w:t>
      </w:r>
      <w:r w:rsidR="000D223A" w:rsidRPr="000D223A">
        <w:rPr>
          <w:rFonts w:eastAsia="Times New Roman" w:cs="Calibri"/>
          <w:kern w:val="0"/>
          <w:lang w:eastAsia="en-GB"/>
          <w14:ligatures w14:val="none"/>
        </w:rPr>
        <w:t xml:space="preserve"> this work will be on-going through 2025 to understand any next steps.</w:t>
      </w:r>
      <w:r w:rsidR="00471D6F" w:rsidRPr="000D223A">
        <w:rPr>
          <w:rFonts w:eastAsia="Times New Roman" w:cs="Calibri"/>
          <w:kern w:val="0"/>
          <w:lang w:eastAsia="en-GB"/>
          <w14:ligatures w14:val="none"/>
        </w:rPr>
        <w:t xml:space="preserve"> </w:t>
      </w:r>
    </w:p>
    <w:p w14:paraId="6E467FA3" w14:textId="77777777" w:rsidR="008C570A" w:rsidRDefault="008C570A" w:rsidP="00804216">
      <w:pPr>
        <w:spacing w:after="0" w:line="240" w:lineRule="auto"/>
        <w:rPr>
          <w:rFonts w:eastAsia="Aptos" w:cs="Calibri"/>
          <w:b/>
          <w:bCs/>
        </w:rPr>
      </w:pPr>
    </w:p>
    <w:p w14:paraId="632CE0AA" w14:textId="7E5DC474" w:rsidR="00804216" w:rsidRPr="00477942" w:rsidRDefault="00804216" w:rsidP="00804216">
      <w:pPr>
        <w:spacing w:after="0" w:line="240" w:lineRule="auto"/>
        <w:rPr>
          <w:rFonts w:eastAsia="Aptos" w:cs="Calibri"/>
          <w:b/>
          <w:bCs/>
        </w:rPr>
      </w:pPr>
      <w:r w:rsidRPr="00477942">
        <w:rPr>
          <w:rFonts w:eastAsia="Aptos" w:cs="Calibri"/>
          <w:b/>
          <w:bCs/>
        </w:rPr>
        <w:t>VOC and WNB Assurance Reports:</w:t>
      </w:r>
    </w:p>
    <w:p w14:paraId="4BB3CF52" w14:textId="77777777" w:rsidR="00804216" w:rsidRPr="00477942" w:rsidRDefault="00804216" w:rsidP="00804216">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 xml:space="preserve">Between June and November 2024, the CBSCP collected Voice of the Child and Was Not Brought Assurance Reports from Central Bedfordshire Children’s Services, Bedfordshire Police, Cambridgeshire Community Services, East London Foundation Trust and Bedfordshire Hospitals Trust. </w:t>
      </w:r>
    </w:p>
    <w:p w14:paraId="4C255667" w14:textId="77777777" w:rsidR="00804216" w:rsidRPr="00477942" w:rsidRDefault="00804216" w:rsidP="00804216">
      <w:pPr>
        <w:spacing w:after="0" w:line="240" w:lineRule="auto"/>
        <w:rPr>
          <w:rFonts w:eastAsia="Times New Roman" w:cs="Calibri"/>
          <w:kern w:val="0"/>
          <w:lang w:eastAsia="en-GB"/>
          <w14:ligatures w14:val="none"/>
        </w:rPr>
      </w:pPr>
    </w:p>
    <w:p w14:paraId="4F70908C" w14:textId="77777777" w:rsidR="00804216" w:rsidRPr="00477942" w:rsidRDefault="00804216" w:rsidP="00804216">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 xml:space="preserve">The outcomes assured us that the day-to-day contact/communication with children, young people and their families, was strong in all agencies. The mechanisms to gather the views and the lived experiences were also present and accessible across all agencies. There were some good examples shared about how agencies have responded and acted upon the feedback, which included disseminating information earlier and sharing relevant processes. </w:t>
      </w:r>
    </w:p>
    <w:p w14:paraId="2C66309D" w14:textId="77777777" w:rsidR="00804216" w:rsidRPr="00477942" w:rsidRDefault="00804216" w:rsidP="00804216">
      <w:pPr>
        <w:spacing w:after="0" w:line="240" w:lineRule="auto"/>
        <w:rPr>
          <w:rFonts w:eastAsia="Times New Roman" w:cs="Calibri"/>
          <w:kern w:val="0"/>
          <w:lang w:eastAsia="en-GB"/>
          <w14:ligatures w14:val="none"/>
        </w:rPr>
      </w:pPr>
    </w:p>
    <w:p w14:paraId="6763C422" w14:textId="77777777" w:rsidR="00804216" w:rsidRPr="00477942" w:rsidRDefault="00804216" w:rsidP="00804216">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Relevant agencies have an appropriate Was Not Brought Policy/Procedure and staff are confident to encourage families to attend appointments and are confident to know what to do in the event they don’t attend.</w:t>
      </w:r>
    </w:p>
    <w:p w14:paraId="79684907" w14:textId="77777777" w:rsidR="00804216" w:rsidRPr="00477942" w:rsidRDefault="00804216" w:rsidP="00804216">
      <w:pPr>
        <w:spacing w:after="0" w:line="240" w:lineRule="auto"/>
        <w:rPr>
          <w:rFonts w:eastAsia="Times New Roman" w:cs="Calibri"/>
          <w:kern w:val="0"/>
          <w:lang w:eastAsia="en-GB"/>
          <w14:ligatures w14:val="none"/>
        </w:rPr>
      </w:pPr>
    </w:p>
    <w:p w14:paraId="30C69B56" w14:textId="77777777" w:rsidR="00804216" w:rsidRPr="00477942" w:rsidRDefault="00804216" w:rsidP="00804216">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 xml:space="preserve">The areas in which agencies could be stronger, is evidencing the voice of the child throughout all children’s records.  Increasing staff training is another area agencies would like to progress; to explore how to capture the lived experience of all children (including children with disabilities and non-verbal children). Targeted thematic audits to test the quality of how we record the voice of the child, and their lived experiences would be helpful. Relating to Was Not Brought, agencies would like to improve their understanding of the data and impact and again, testing that through thematic auditing would be beneficial. </w:t>
      </w:r>
    </w:p>
    <w:p w14:paraId="4E420D94" w14:textId="77777777" w:rsidR="00804216" w:rsidRPr="00477942" w:rsidRDefault="00804216" w:rsidP="00804216">
      <w:pPr>
        <w:spacing w:after="0" w:line="240" w:lineRule="auto"/>
        <w:rPr>
          <w:rFonts w:eastAsia="Times New Roman" w:cs="Calibri"/>
          <w:kern w:val="0"/>
          <w:lang w:eastAsia="en-GB"/>
          <w14:ligatures w14:val="none"/>
        </w:rPr>
      </w:pPr>
    </w:p>
    <w:p w14:paraId="570FD0B7" w14:textId="77777777" w:rsidR="00804216" w:rsidRPr="00477942" w:rsidRDefault="00804216" w:rsidP="00804216">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 xml:space="preserve">CBSC Partnership will oversee individual and multiagency action plans, and it will continue to support the learning and development in all areas.  </w:t>
      </w:r>
    </w:p>
    <w:p w14:paraId="14C6D02E" w14:textId="77777777" w:rsidR="00804216" w:rsidRPr="00477942" w:rsidRDefault="00804216" w:rsidP="00804216">
      <w:pPr>
        <w:spacing w:after="0" w:line="240" w:lineRule="auto"/>
        <w:rPr>
          <w:rFonts w:eastAsia="Times New Roman" w:cs="Calibri"/>
          <w:kern w:val="0"/>
          <w:lang w:eastAsia="en-GB"/>
          <w14:ligatures w14:val="none"/>
        </w:rPr>
      </w:pPr>
    </w:p>
    <w:p w14:paraId="2A2D2411" w14:textId="1CD71383" w:rsidR="00804216" w:rsidRDefault="00804216" w:rsidP="00804216">
      <w:pPr>
        <w:spacing w:after="0" w:line="240" w:lineRule="auto"/>
        <w:rPr>
          <w:rFonts w:eastAsia="Times New Roman" w:cs="Calibri"/>
          <w:kern w:val="0"/>
          <w:lang w:eastAsia="en-GB"/>
          <w14:ligatures w14:val="none"/>
        </w:rPr>
      </w:pPr>
      <w:r w:rsidRPr="00477942">
        <w:rPr>
          <w:rFonts w:eastAsia="Times New Roman" w:cs="Calibri"/>
          <w:kern w:val="0"/>
          <w:lang w:eastAsia="en-GB"/>
          <w14:ligatures w14:val="none"/>
        </w:rPr>
        <w:t>Each agency provided examples of their work and any follow-up activities that they had identified, copies of the reports are available on request</w:t>
      </w:r>
      <w:r w:rsidR="00B825BA">
        <w:rPr>
          <w:rFonts w:eastAsia="Times New Roman" w:cs="Calibri"/>
          <w:kern w:val="0"/>
          <w:lang w:eastAsia="en-GB"/>
          <w14:ligatures w14:val="none"/>
        </w:rPr>
        <w:t>.</w:t>
      </w:r>
    </w:p>
    <w:p w14:paraId="5EDAF821" w14:textId="77777777" w:rsidR="00B825BA" w:rsidRPr="00477942" w:rsidRDefault="00B825BA" w:rsidP="00804216">
      <w:pPr>
        <w:spacing w:after="0" w:line="240" w:lineRule="auto"/>
        <w:rPr>
          <w:rFonts w:eastAsia="Times New Roman" w:cs="Calibri"/>
          <w:kern w:val="0"/>
          <w:lang w:eastAsia="en-GB"/>
          <w14:ligatures w14:val="none"/>
        </w:rPr>
      </w:pPr>
    </w:p>
    <w:bookmarkEnd w:id="4"/>
    <w:p w14:paraId="655A4C23" w14:textId="77777777" w:rsidR="004D69A0" w:rsidRPr="00477942" w:rsidRDefault="004D69A0" w:rsidP="004D69A0">
      <w:pPr>
        <w:spacing w:after="0" w:line="240" w:lineRule="auto"/>
        <w:rPr>
          <w:rFonts w:eastAsia="Aptos" w:cs="Calibri"/>
          <w:b/>
          <w:bCs/>
        </w:rPr>
      </w:pPr>
      <w:r w:rsidRPr="00477942">
        <w:rPr>
          <w:rFonts w:eastAsia="Aptos" w:cs="Calibri"/>
          <w:b/>
          <w:bCs/>
        </w:rPr>
        <w:t>Mental Health, Emotional Wellbeing &amp; Resilience:</w:t>
      </w:r>
    </w:p>
    <w:p w14:paraId="7F3D20E6" w14:textId="2839BE9D" w:rsidR="004F71E5" w:rsidRPr="004F71E5" w:rsidRDefault="004D69A0" w:rsidP="004F71E5">
      <w:pPr>
        <w:spacing w:after="0" w:line="240" w:lineRule="auto"/>
        <w:rPr>
          <w:rFonts w:eastAsia="Aptos" w:cs="Calibri"/>
        </w:rPr>
      </w:pPr>
      <w:r w:rsidRPr="00477942">
        <w:rPr>
          <w:rFonts w:eastAsia="Aptos" w:cs="Calibri"/>
        </w:rPr>
        <w:t xml:space="preserve">The Partnership continues to promote the Reflect Support Service and resources and also continues to provide a range of mental health and wellbeing multi-agency training courses </w:t>
      </w:r>
      <w:r w:rsidR="004F71E5" w:rsidRPr="004F71E5">
        <w:rPr>
          <w:rFonts w:eastAsia="Aptos" w:cs="Calibri"/>
        </w:rPr>
        <w:t>alongside information and signposting on the Partnership website.</w:t>
      </w:r>
    </w:p>
    <w:p w14:paraId="672408C5" w14:textId="77777777" w:rsidR="004F71E5" w:rsidRPr="004F71E5" w:rsidRDefault="004F71E5" w:rsidP="004F71E5">
      <w:pPr>
        <w:spacing w:after="0" w:line="240" w:lineRule="auto"/>
        <w:rPr>
          <w:rFonts w:eastAsia="Aptos" w:cs="Calibri"/>
        </w:rPr>
      </w:pPr>
    </w:p>
    <w:p w14:paraId="73655408" w14:textId="7FD64027" w:rsidR="004D69A0" w:rsidRPr="00477942" w:rsidRDefault="00BD3F15" w:rsidP="004F71E5">
      <w:pPr>
        <w:spacing w:after="0" w:line="240" w:lineRule="auto"/>
        <w:rPr>
          <w:rFonts w:eastAsia="Aptos" w:cs="Calibri"/>
        </w:rPr>
      </w:pPr>
      <w:r>
        <w:rPr>
          <w:rFonts w:eastAsia="Aptos" w:cs="Calibri"/>
        </w:rPr>
        <w:t>Mental Hea</w:t>
      </w:r>
      <w:r w:rsidR="0014222E">
        <w:rPr>
          <w:rFonts w:eastAsia="Aptos" w:cs="Calibri"/>
        </w:rPr>
        <w:t>lth</w:t>
      </w:r>
      <w:r w:rsidR="004F71E5" w:rsidRPr="004F71E5">
        <w:rPr>
          <w:rFonts w:eastAsia="Aptos" w:cs="Calibri"/>
        </w:rPr>
        <w:t xml:space="preserve"> themed training: 332 practitioners completed mental health themed eLearning.</w:t>
      </w:r>
    </w:p>
    <w:p w14:paraId="763031BF" w14:textId="77777777" w:rsidR="004D69A0" w:rsidRPr="00477942" w:rsidRDefault="004D69A0" w:rsidP="004D69A0">
      <w:pPr>
        <w:spacing w:after="0" w:line="240" w:lineRule="auto"/>
        <w:rPr>
          <w:rFonts w:eastAsia="Aptos" w:cs="Calibri"/>
        </w:rPr>
      </w:pPr>
    </w:p>
    <w:p w14:paraId="31F16672" w14:textId="77777777" w:rsidR="004D69A0" w:rsidRPr="00477942" w:rsidRDefault="004D69A0" w:rsidP="004D69A0">
      <w:pPr>
        <w:spacing w:after="0" w:line="240" w:lineRule="auto"/>
        <w:rPr>
          <w:rFonts w:eastAsia="Aptos" w:cs="Calibri"/>
          <w:b/>
          <w:bCs/>
        </w:rPr>
      </w:pPr>
      <w:r w:rsidRPr="00477942">
        <w:rPr>
          <w:rFonts w:eastAsia="Aptos" w:cs="Calibri"/>
          <w:b/>
          <w:bCs/>
        </w:rPr>
        <w:t>Voice of the Child Sub-Group:</w:t>
      </w:r>
    </w:p>
    <w:p w14:paraId="14F3F936" w14:textId="6C5FA8F8" w:rsidR="004D69A0" w:rsidRDefault="004D69A0" w:rsidP="004D69A0">
      <w:pPr>
        <w:spacing w:after="0" w:line="240" w:lineRule="auto"/>
        <w:rPr>
          <w:rFonts w:eastAsia="Aptos" w:cs="Calibri"/>
        </w:rPr>
      </w:pPr>
      <w:r w:rsidRPr="00477942">
        <w:rPr>
          <w:rFonts w:eastAsia="Aptos" w:cs="Calibri"/>
        </w:rPr>
        <w:t xml:space="preserve">Following Working Together 2023 and the review of our Multi-Agency Safeguarding Arrangements the Pan Bedfordshire Voice of the Child Group </w:t>
      </w:r>
      <w:r w:rsidR="00EA4ADD" w:rsidRPr="00C94B6D">
        <w:rPr>
          <w:rFonts w:eastAsia="Aptos" w:cs="Calibri"/>
        </w:rPr>
        <w:t>was</w:t>
      </w:r>
      <w:r w:rsidRPr="00477942">
        <w:rPr>
          <w:rFonts w:eastAsia="Aptos" w:cs="Calibri"/>
        </w:rPr>
        <w:t xml:space="preserve"> </w:t>
      </w:r>
      <w:r w:rsidR="005A6023" w:rsidRPr="00C94B6D">
        <w:rPr>
          <w:rFonts w:eastAsia="Aptos" w:cs="Calibri"/>
        </w:rPr>
        <w:t>reinstated to the Multi-Agency Arrangements Structure in January 2024.</w:t>
      </w:r>
      <w:r w:rsidRPr="00477942">
        <w:rPr>
          <w:rFonts w:eastAsia="Aptos" w:cs="Calibri"/>
        </w:rPr>
        <w:t xml:space="preserve"> </w:t>
      </w:r>
      <w:r w:rsidR="005A6023" w:rsidRPr="00C94B6D">
        <w:rPr>
          <w:rFonts w:eastAsia="Aptos" w:cs="Calibri"/>
        </w:rPr>
        <w:t>T</w:t>
      </w:r>
      <w:r w:rsidRPr="00477942">
        <w:rPr>
          <w:rFonts w:eastAsia="Aptos" w:cs="Calibri"/>
        </w:rPr>
        <w:t>he first 2 key actions identified to</w:t>
      </w:r>
      <w:r w:rsidR="00C94B6D" w:rsidRPr="00C94B6D">
        <w:rPr>
          <w:rFonts w:eastAsia="Aptos" w:cs="Calibri"/>
        </w:rPr>
        <w:t xml:space="preserve"> be taken forward are the</w:t>
      </w:r>
      <w:r w:rsidRPr="00477942">
        <w:rPr>
          <w:rFonts w:eastAsia="Aptos" w:cs="Calibri"/>
        </w:rPr>
        <w:t xml:space="preserve"> develop a young people’s page on our Safeguarding Bedfordshire website, led and co-produced with our young people and to start the organisation of our next Voice of the Child Conference</w:t>
      </w:r>
      <w:r w:rsidR="00C94B6D" w:rsidRPr="00C94B6D">
        <w:rPr>
          <w:rFonts w:eastAsia="Aptos" w:cs="Calibri"/>
        </w:rPr>
        <w:t>, which will take place in November 2025</w:t>
      </w:r>
      <w:r w:rsidRPr="00477942">
        <w:rPr>
          <w:rFonts w:eastAsia="Aptos" w:cs="Calibri"/>
        </w:rPr>
        <w:t>.</w:t>
      </w:r>
    </w:p>
    <w:p w14:paraId="09E62167" w14:textId="77777777" w:rsidR="0014222E" w:rsidRDefault="0014222E" w:rsidP="004D69A0">
      <w:pPr>
        <w:spacing w:after="0" w:line="240" w:lineRule="auto"/>
        <w:rPr>
          <w:rFonts w:eastAsia="Aptos" w:cs="Calibri"/>
        </w:rPr>
      </w:pPr>
    </w:p>
    <w:p w14:paraId="6C9484F5" w14:textId="62E65261" w:rsidR="0014222E" w:rsidRPr="00477942" w:rsidRDefault="0014222E" w:rsidP="004D69A0">
      <w:pPr>
        <w:spacing w:after="0" w:line="240" w:lineRule="auto"/>
        <w:rPr>
          <w:rFonts w:eastAsia="Aptos" w:cs="Calibri"/>
        </w:rPr>
      </w:pPr>
      <w:r w:rsidRPr="0014222E">
        <w:rPr>
          <w:rFonts w:eastAsia="Aptos" w:cs="Calibri"/>
        </w:rPr>
        <w:t>Voice of the Child training: 22 local practitioners attended Voice of the Child training. 33% rated their knowledge as good, or very good pre-training, rising to 98% post training.</w:t>
      </w:r>
    </w:p>
    <w:p w14:paraId="755804CD" w14:textId="77777777" w:rsidR="004D69A0" w:rsidRPr="00477942" w:rsidRDefault="004D69A0" w:rsidP="004D69A0">
      <w:pPr>
        <w:spacing w:after="0" w:line="240" w:lineRule="auto"/>
        <w:rPr>
          <w:rFonts w:eastAsia="Aptos" w:cs="Calibri"/>
          <w:b/>
          <w:bCs/>
        </w:rPr>
      </w:pPr>
      <w:r w:rsidRPr="00477942">
        <w:rPr>
          <w:rFonts w:eastAsia="Aptos" w:cs="Calibri"/>
          <w:b/>
          <w:bCs/>
        </w:rPr>
        <w:lastRenderedPageBreak/>
        <w:t>Pan Bedfordshire Safeguarding Education Group:</w:t>
      </w:r>
    </w:p>
    <w:p w14:paraId="029BE9B2" w14:textId="4CA41A8C" w:rsidR="00694859" w:rsidRPr="008D11F0" w:rsidRDefault="004D69A0" w:rsidP="004D69A0">
      <w:pPr>
        <w:spacing w:after="0" w:line="240" w:lineRule="auto"/>
        <w:rPr>
          <w:rFonts w:eastAsia="Aptos" w:cs="Calibri"/>
        </w:rPr>
      </w:pPr>
      <w:r w:rsidRPr="00477942">
        <w:rPr>
          <w:rFonts w:eastAsia="Aptos" w:cs="Calibri"/>
        </w:rPr>
        <w:t xml:space="preserve">This year the group have reviewed the feedback and themes from the </w:t>
      </w:r>
      <w:r w:rsidR="00024BDC">
        <w:rPr>
          <w:rFonts w:eastAsia="Aptos" w:cs="Calibri"/>
        </w:rPr>
        <w:t xml:space="preserve">local School </w:t>
      </w:r>
      <w:r w:rsidRPr="00477942">
        <w:rPr>
          <w:rFonts w:eastAsia="Aptos" w:cs="Calibri"/>
        </w:rPr>
        <w:t>Section 175 Audits</w:t>
      </w:r>
      <w:r w:rsidR="00024BDC">
        <w:rPr>
          <w:rFonts w:eastAsia="Aptos" w:cs="Calibri"/>
        </w:rPr>
        <w:t xml:space="preserve"> (Safeguarding Self-</w:t>
      </w:r>
      <w:r w:rsidR="00C321AD">
        <w:rPr>
          <w:rFonts w:eastAsia="Aptos" w:cs="Calibri"/>
        </w:rPr>
        <w:t>Assessment</w:t>
      </w:r>
      <w:r w:rsidR="00024BDC">
        <w:rPr>
          <w:rFonts w:eastAsia="Aptos" w:cs="Calibri"/>
        </w:rPr>
        <w:t xml:space="preserve"> Audits </w:t>
      </w:r>
      <w:r w:rsidR="00C321AD">
        <w:rPr>
          <w:rFonts w:eastAsia="Aptos" w:cs="Calibri"/>
        </w:rPr>
        <w:t>completed by schools)</w:t>
      </w:r>
      <w:r w:rsidRPr="00477942">
        <w:rPr>
          <w:rFonts w:eastAsia="Aptos" w:cs="Calibri"/>
        </w:rPr>
        <w:t>, reviewed data/information around school attendance and exclusions and reviewed our processes and practice in relation to E</w:t>
      </w:r>
      <w:r w:rsidR="00BD41E4" w:rsidRPr="008D11F0">
        <w:rPr>
          <w:rFonts w:eastAsia="Aptos" w:cs="Calibri"/>
        </w:rPr>
        <w:t xml:space="preserve">lectively </w:t>
      </w:r>
      <w:r w:rsidRPr="00477942">
        <w:rPr>
          <w:rFonts w:eastAsia="Aptos" w:cs="Calibri"/>
        </w:rPr>
        <w:t>H</w:t>
      </w:r>
      <w:r w:rsidR="00BD41E4" w:rsidRPr="008D11F0">
        <w:rPr>
          <w:rFonts w:eastAsia="Aptos" w:cs="Calibri"/>
        </w:rPr>
        <w:t xml:space="preserve">ome </w:t>
      </w:r>
      <w:r w:rsidRPr="00477942">
        <w:rPr>
          <w:rFonts w:eastAsia="Aptos" w:cs="Calibri"/>
        </w:rPr>
        <w:t>E</w:t>
      </w:r>
      <w:r w:rsidR="00BD41E4" w:rsidRPr="008D11F0">
        <w:rPr>
          <w:rFonts w:eastAsia="Aptos" w:cs="Calibri"/>
        </w:rPr>
        <w:t>ducation</w:t>
      </w:r>
      <w:r w:rsidRPr="00477942">
        <w:rPr>
          <w:rFonts w:eastAsia="Aptos" w:cs="Calibri"/>
        </w:rPr>
        <w:t xml:space="preserve"> across Bedfordshire. On a quarterly basis the group links in with the local</w:t>
      </w:r>
      <w:r w:rsidR="003E55DB" w:rsidRPr="008D11F0">
        <w:rPr>
          <w:rFonts w:eastAsia="Aptos" w:cs="Calibri"/>
        </w:rPr>
        <w:t xml:space="preserve"> School</w:t>
      </w:r>
      <w:r w:rsidRPr="00477942">
        <w:rPr>
          <w:rFonts w:eastAsia="Aptos" w:cs="Calibri"/>
        </w:rPr>
        <w:t xml:space="preserve"> DSL clusters to understand the issues and themes occurring locally in education settings</w:t>
      </w:r>
      <w:r w:rsidR="003E55DB" w:rsidRPr="008D11F0">
        <w:rPr>
          <w:rFonts w:eastAsia="Aptos" w:cs="Calibri"/>
        </w:rPr>
        <w:t>.</w:t>
      </w:r>
      <w:r w:rsidRPr="00477942">
        <w:rPr>
          <w:rFonts w:eastAsia="Aptos" w:cs="Calibri"/>
        </w:rPr>
        <w:t xml:space="preserve"> over the year these have included Harmful Sexual Behaviours, sexism, mental health and wellbeing, online safety, parental and sibling imprisonment, bail conditions, staff code of conduct and CSA.</w:t>
      </w:r>
      <w:r w:rsidR="00506018">
        <w:rPr>
          <w:rFonts w:eastAsia="Aptos" w:cs="Calibri"/>
        </w:rPr>
        <w:t xml:space="preserve"> The below table </w:t>
      </w:r>
      <w:r w:rsidR="00052F56">
        <w:rPr>
          <w:rFonts w:eastAsia="Aptos" w:cs="Calibri"/>
        </w:rPr>
        <w:t>also provides some information in relation to you said, we did.</w:t>
      </w:r>
    </w:p>
    <w:p w14:paraId="5106111F" w14:textId="77777777" w:rsidR="00694859" w:rsidRDefault="00694859" w:rsidP="004D69A0">
      <w:pPr>
        <w:spacing w:after="0" w:line="240" w:lineRule="auto"/>
        <w:rPr>
          <w:rFonts w:ascii="Calibri" w:eastAsia="Aptos" w:hAnsi="Calibri" w:cs="Calibri"/>
        </w:rPr>
      </w:pPr>
    </w:p>
    <w:p w14:paraId="56F7151B" w14:textId="1033DBF2" w:rsidR="008C570A" w:rsidRDefault="008C570A" w:rsidP="001C7956">
      <w:pPr>
        <w:spacing w:after="0" w:line="240" w:lineRule="auto"/>
        <w:rPr>
          <w:rFonts w:eastAsia="Aptos" w:cs="Calibri"/>
        </w:rPr>
      </w:pPr>
      <w:r w:rsidRPr="008C570A">
        <w:rPr>
          <w:rFonts w:eastAsia="Aptos" w:cs="Calibri"/>
        </w:rPr>
        <w:t>Y</w:t>
      </w:r>
      <w:r w:rsidR="008D11F0" w:rsidRPr="008C570A">
        <w:rPr>
          <w:rFonts w:eastAsia="Aptos" w:cs="Calibri"/>
        </w:rPr>
        <w:t>ou said we did</w:t>
      </w:r>
      <w:r w:rsidRPr="008C570A">
        <w:rPr>
          <w:rFonts w:eastAsia="Aptos" w:cs="Calibri"/>
        </w:rPr>
        <w:t>:</w:t>
      </w:r>
    </w:p>
    <w:p w14:paraId="29961DBD" w14:textId="77777777" w:rsidR="001C7956" w:rsidRPr="001C7956" w:rsidRDefault="001C7956" w:rsidP="001C7956">
      <w:pPr>
        <w:spacing w:after="0" w:line="240" w:lineRule="auto"/>
        <w:rPr>
          <w:rFonts w:eastAsia="Aptos" w:cs="Calibri"/>
        </w:rPr>
      </w:pPr>
    </w:p>
    <w:tbl>
      <w:tblPr>
        <w:tblStyle w:val="TableGrid"/>
        <w:tblW w:w="0" w:type="auto"/>
        <w:tblLook w:val="04A0" w:firstRow="1" w:lastRow="0" w:firstColumn="1" w:lastColumn="0" w:noHBand="0" w:noVBand="1"/>
      </w:tblPr>
      <w:tblGrid>
        <w:gridCol w:w="4508"/>
        <w:gridCol w:w="4508"/>
      </w:tblGrid>
      <w:tr w:rsidR="008C570A" w14:paraId="4BB1297F" w14:textId="77777777">
        <w:tc>
          <w:tcPr>
            <w:tcW w:w="4508" w:type="dxa"/>
          </w:tcPr>
          <w:p w14:paraId="1DDC780A" w14:textId="3A7F99B3" w:rsidR="008C570A" w:rsidRPr="00772098" w:rsidRDefault="008C570A" w:rsidP="00772098">
            <w:pPr>
              <w:jc w:val="center"/>
              <w:rPr>
                <w:rFonts w:eastAsia="Aptos" w:cs="Calibri"/>
                <w:b/>
                <w:bCs/>
              </w:rPr>
            </w:pPr>
            <w:r w:rsidRPr="00772098">
              <w:rPr>
                <w:rFonts w:eastAsia="Aptos" w:cs="Calibri"/>
                <w:b/>
                <w:bCs/>
              </w:rPr>
              <w:t>Issue raised by DSL Cluster</w:t>
            </w:r>
          </w:p>
        </w:tc>
        <w:tc>
          <w:tcPr>
            <w:tcW w:w="4508" w:type="dxa"/>
          </w:tcPr>
          <w:p w14:paraId="2DF5D9CC" w14:textId="4C384623" w:rsidR="008C570A" w:rsidRPr="00772098" w:rsidRDefault="008C570A" w:rsidP="00772098">
            <w:pPr>
              <w:jc w:val="center"/>
              <w:rPr>
                <w:rFonts w:eastAsia="Aptos" w:cs="Calibri"/>
                <w:b/>
                <w:bCs/>
              </w:rPr>
            </w:pPr>
            <w:r w:rsidRPr="00772098">
              <w:rPr>
                <w:rFonts w:eastAsia="Aptos" w:cs="Calibri"/>
                <w:b/>
                <w:bCs/>
              </w:rPr>
              <w:t>Action</w:t>
            </w:r>
          </w:p>
        </w:tc>
      </w:tr>
      <w:tr w:rsidR="008C570A" w14:paraId="2F5C48E2" w14:textId="77777777">
        <w:tc>
          <w:tcPr>
            <w:tcW w:w="4508" w:type="dxa"/>
          </w:tcPr>
          <w:p w14:paraId="1E1D8958" w14:textId="6A00C482" w:rsidR="00772098" w:rsidRPr="00772098" w:rsidRDefault="00772098" w:rsidP="00772098">
            <w:pPr>
              <w:spacing w:before="60" w:after="120"/>
              <w:jc w:val="both"/>
              <w:rPr>
                <w:rFonts w:cstheme="minorHAnsi"/>
                <w:szCs w:val="22"/>
              </w:rPr>
            </w:pPr>
            <w:r w:rsidRPr="00772098">
              <w:rPr>
                <w:rFonts w:cstheme="minorHAnsi"/>
                <w:b/>
                <w:bCs/>
                <w:szCs w:val="22"/>
              </w:rPr>
              <w:t>Parental/Sibling Imprisonment</w:t>
            </w:r>
          </w:p>
          <w:p w14:paraId="6691C46D" w14:textId="77777777" w:rsidR="008C570A" w:rsidRDefault="008C570A" w:rsidP="004D69A0">
            <w:pPr>
              <w:rPr>
                <w:rFonts w:eastAsia="Aptos" w:cs="Calibri"/>
              </w:rPr>
            </w:pPr>
          </w:p>
        </w:tc>
        <w:tc>
          <w:tcPr>
            <w:tcW w:w="4508" w:type="dxa"/>
          </w:tcPr>
          <w:p w14:paraId="01297AE5" w14:textId="261641B3" w:rsidR="008C570A" w:rsidRDefault="00772098" w:rsidP="004D69A0">
            <w:pPr>
              <w:rPr>
                <w:rFonts w:eastAsia="Aptos" w:cs="Calibri"/>
              </w:rPr>
            </w:pPr>
            <w:r>
              <w:rPr>
                <w:rFonts w:cstheme="minorHAnsi"/>
                <w:szCs w:val="22"/>
              </w:rPr>
              <w:t>R</w:t>
            </w:r>
            <w:r w:rsidRPr="00A97214">
              <w:rPr>
                <w:rFonts w:cstheme="minorHAnsi"/>
                <w:szCs w:val="22"/>
              </w:rPr>
              <w:t>ange of information/resources shared, including template policies from CHAS. Working with Invisible Walls, two DSL’s were able to visit HMP Bedford School</w:t>
            </w:r>
            <w:r w:rsidR="00C057E7">
              <w:rPr>
                <w:rFonts w:cstheme="minorHAnsi"/>
                <w:szCs w:val="22"/>
              </w:rPr>
              <w:t xml:space="preserve"> </w:t>
            </w:r>
            <w:r w:rsidRPr="00A97214">
              <w:rPr>
                <w:rFonts w:cstheme="minorHAnsi"/>
                <w:szCs w:val="22"/>
              </w:rPr>
              <w:t>zone. Next event: 8</w:t>
            </w:r>
            <w:r w:rsidRPr="00A97214">
              <w:rPr>
                <w:rFonts w:cstheme="minorHAnsi"/>
                <w:szCs w:val="22"/>
                <w:vertAlign w:val="superscript"/>
              </w:rPr>
              <w:t>th</w:t>
            </w:r>
            <w:r w:rsidRPr="00A97214">
              <w:rPr>
                <w:rFonts w:cstheme="minorHAnsi"/>
                <w:szCs w:val="22"/>
              </w:rPr>
              <w:t xml:space="preserve"> July  </w:t>
            </w:r>
          </w:p>
        </w:tc>
      </w:tr>
      <w:tr w:rsidR="008C570A" w14:paraId="7C811BC7" w14:textId="77777777">
        <w:tc>
          <w:tcPr>
            <w:tcW w:w="4508" w:type="dxa"/>
          </w:tcPr>
          <w:p w14:paraId="5FDD14F5" w14:textId="7E251A9F" w:rsidR="00C057E7" w:rsidRPr="00C057E7" w:rsidRDefault="00C057E7" w:rsidP="00C057E7">
            <w:pPr>
              <w:spacing w:before="60" w:after="120"/>
              <w:jc w:val="both"/>
              <w:rPr>
                <w:rFonts w:cstheme="minorHAnsi"/>
                <w:szCs w:val="22"/>
              </w:rPr>
            </w:pPr>
            <w:r w:rsidRPr="00C057E7">
              <w:rPr>
                <w:rFonts w:cstheme="minorHAnsi"/>
                <w:b/>
                <w:bCs/>
                <w:szCs w:val="22"/>
              </w:rPr>
              <w:t>Raising Parents/Carers awareness of Safeguarding</w:t>
            </w:r>
          </w:p>
          <w:p w14:paraId="0264C798" w14:textId="77777777" w:rsidR="008C570A" w:rsidRDefault="008C570A" w:rsidP="004D69A0">
            <w:pPr>
              <w:rPr>
                <w:rFonts w:eastAsia="Aptos" w:cs="Calibri"/>
              </w:rPr>
            </w:pPr>
          </w:p>
        </w:tc>
        <w:tc>
          <w:tcPr>
            <w:tcW w:w="4508" w:type="dxa"/>
          </w:tcPr>
          <w:p w14:paraId="6F49C7C1" w14:textId="6FFABC76" w:rsidR="008C570A" w:rsidRDefault="00C057E7" w:rsidP="004D69A0">
            <w:pPr>
              <w:rPr>
                <w:rFonts w:eastAsia="Aptos" w:cs="Calibri"/>
              </w:rPr>
            </w:pPr>
            <w:r w:rsidRPr="00C057E7">
              <w:rPr>
                <w:rFonts w:cstheme="minorHAnsi"/>
                <w:szCs w:val="22"/>
              </w:rPr>
              <w:t>Two free NSPCC</w:t>
            </w:r>
            <w:r w:rsidRPr="00C057E7">
              <w:rPr>
                <w:rFonts w:eastAsia="+mn-ea" w:cstheme="minorHAnsi"/>
                <w:color w:val="000000"/>
                <w:kern w:val="24"/>
                <w:szCs w:val="22"/>
                <w:lang w:val="en-US"/>
              </w:rPr>
              <w:t xml:space="preserve"> ‘</w:t>
            </w:r>
            <w:hyperlink r:id="rId16" w:history="1">
              <w:r w:rsidRPr="00C057E7">
                <w:rPr>
                  <w:rStyle w:val="Hyperlink"/>
                  <w:rFonts w:eastAsia="+mn-ea" w:cstheme="minorHAnsi"/>
                  <w:kern w:val="24"/>
                  <w:szCs w:val="22"/>
                  <w:lang w:val="en-US"/>
                </w:rPr>
                <w:t>Listen Up, Speak Up</w:t>
              </w:r>
            </w:hyperlink>
            <w:r w:rsidRPr="00C057E7">
              <w:rPr>
                <w:rFonts w:eastAsia="+mn-ea" w:cstheme="minorHAnsi"/>
                <w:color w:val="000000"/>
                <w:kern w:val="24"/>
                <w:szCs w:val="22"/>
                <w:lang w:val="en-US"/>
              </w:rPr>
              <w:t>’ sessions and one YGAM ‘</w:t>
            </w:r>
            <w:hyperlink r:id="rId17" w:history="1">
              <w:r w:rsidRPr="00C057E7">
                <w:rPr>
                  <w:rStyle w:val="Hyperlink"/>
                  <w:rFonts w:eastAsia="+mn-ea" w:cstheme="minorHAnsi"/>
                  <w:kern w:val="24"/>
                  <w:szCs w:val="22"/>
                  <w:lang w:val="en-US"/>
                </w:rPr>
                <w:t>Gaming &amp; Online Harms</w:t>
              </w:r>
            </w:hyperlink>
            <w:r w:rsidRPr="00C057E7">
              <w:rPr>
                <w:rFonts w:eastAsia="+mn-ea" w:cstheme="minorHAnsi"/>
                <w:color w:val="000000"/>
                <w:kern w:val="24"/>
                <w:szCs w:val="22"/>
                <w:lang w:val="en-US"/>
              </w:rPr>
              <w:t>’ sessions were delivered.</w:t>
            </w:r>
          </w:p>
        </w:tc>
      </w:tr>
      <w:tr w:rsidR="008C570A" w14:paraId="037DF0D0" w14:textId="77777777">
        <w:tc>
          <w:tcPr>
            <w:tcW w:w="4508" w:type="dxa"/>
          </w:tcPr>
          <w:p w14:paraId="24701420" w14:textId="21B4AEF4" w:rsidR="00E11A47" w:rsidRPr="00E11A47" w:rsidRDefault="00E11A47" w:rsidP="00E11A47">
            <w:pPr>
              <w:spacing w:before="60" w:after="120"/>
              <w:jc w:val="both"/>
              <w:rPr>
                <w:rFonts w:cstheme="minorHAnsi"/>
                <w:szCs w:val="22"/>
              </w:rPr>
            </w:pPr>
            <w:r w:rsidRPr="00E11A47">
              <w:rPr>
                <w:rFonts w:cstheme="minorHAnsi"/>
                <w:b/>
                <w:bCs/>
                <w:szCs w:val="22"/>
              </w:rPr>
              <w:t>Child Sexual Abuse</w:t>
            </w:r>
            <w:r w:rsidRPr="00E11A47">
              <w:rPr>
                <w:rFonts w:cstheme="minorHAnsi"/>
                <w:szCs w:val="22"/>
              </w:rPr>
              <w:t xml:space="preserve"> </w:t>
            </w:r>
          </w:p>
          <w:p w14:paraId="0013A6BF" w14:textId="77777777" w:rsidR="008C570A" w:rsidRDefault="008C570A" w:rsidP="004D69A0">
            <w:pPr>
              <w:rPr>
                <w:rFonts w:eastAsia="Aptos" w:cs="Calibri"/>
              </w:rPr>
            </w:pPr>
          </w:p>
        </w:tc>
        <w:tc>
          <w:tcPr>
            <w:tcW w:w="4508" w:type="dxa"/>
          </w:tcPr>
          <w:p w14:paraId="0CF08DD6" w14:textId="7CDF9A59" w:rsidR="008C570A" w:rsidRDefault="00E11A47" w:rsidP="004D69A0">
            <w:pPr>
              <w:rPr>
                <w:rFonts w:eastAsia="Aptos" w:cs="Calibri"/>
              </w:rPr>
            </w:pPr>
            <w:r>
              <w:rPr>
                <w:rFonts w:cstheme="minorHAnsi"/>
                <w:szCs w:val="22"/>
              </w:rPr>
              <w:t>N</w:t>
            </w:r>
            <w:r w:rsidRPr="00E11A47">
              <w:rPr>
                <w:rFonts w:cstheme="minorHAnsi"/>
                <w:szCs w:val="22"/>
              </w:rPr>
              <w:t>ew funded training now available; ‘</w:t>
            </w:r>
            <w:hyperlink r:id="rId18" w:history="1">
              <w:r w:rsidRPr="00E11A47">
                <w:rPr>
                  <w:rStyle w:val="Hyperlink"/>
                  <w:rFonts w:cstheme="minorHAnsi"/>
                  <w:szCs w:val="22"/>
                </w:rPr>
                <w:t>Developing an Understanding of Child Sexual Abuse</w:t>
              </w:r>
            </w:hyperlink>
            <w:r w:rsidRPr="00E11A47">
              <w:rPr>
                <w:rFonts w:cstheme="minorHAnsi"/>
                <w:szCs w:val="22"/>
              </w:rPr>
              <w:t>’ and ‘</w:t>
            </w:r>
            <w:hyperlink r:id="rId19" w:history="1">
              <w:r w:rsidRPr="00E11A47">
                <w:rPr>
                  <w:rStyle w:val="Hyperlink"/>
                  <w:rFonts w:cstheme="minorHAnsi"/>
                  <w:szCs w:val="22"/>
                </w:rPr>
                <w:t>Technology Assisted Child Sexual Abuse (TACSA)</w:t>
              </w:r>
            </w:hyperlink>
            <w:r w:rsidRPr="00E11A47">
              <w:rPr>
                <w:rFonts w:cstheme="minorHAnsi"/>
                <w:szCs w:val="22"/>
              </w:rPr>
              <w:t>’. Scoping work taking place for Harmful Sexual Behaviours training.</w:t>
            </w:r>
          </w:p>
        </w:tc>
      </w:tr>
      <w:tr w:rsidR="008C570A" w14:paraId="31ABC0F9" w14:textId="77777777">
        <w:tc>
          <w:tcPr>
            <w:tcW w:w="4508" w:type="dxa"/>
          </w:tcPr>
          <w:p w14:paraId="3C16D0C1" w14:textId="5080046A" w:rsidR="00AC6D68" w:rsidRPr="00AC6D68" w:rsidRDefault="00AC6D68" w:rsidP="00AC6D68">
            <w:pPr>
              <w:spacing w:before="60" w:after="120"/>
              <w:jc w:val="both"/>
              <w:rPr>
                <w:rFonts w:cstheme="minorHAnsi"/>
                <w:szCs w:val="22"/>
              </w:rPr>
            </w:pPr>
            <w:r w:rsidRPr="00AC6D68">
              <w:rPr>
                <w:rFonts w:cstheme="minorHAnsi"/>
                <w:b/>
                <w:bCs/>
                <w:szCs w:val="22"/>
                <w:lang w:val="en-US"/>
              </w:rPr>
              <w:t>‘Back to Basics’ Training</w:t>
            </w:r>
          </w:p>
          <w:p w14:paraId="118C00D3" w14:textId="77777777" w:rsidR="008C570A" w:rsidRDefault="008C570A" w:rsidP="004D69A0">
            <w:pPr>
              <w:rPr>
                <w:rFonts w:eastAsia="Aptos" w:cs="Calibri"/>
              </w:rPr>
            </w:pPr>
          </w:p>
        </w:tc>
        <w:tc>
          <w:tcPr>
            <w:tcW w:w="4508" w:type="dxa"/>
          </w:tcPr>
          <w:p w14:paraId="6ABBC595" w14:textId="77777777" w:rsidR="008C570A" w:rsidRDefault="00AC6D68" w:rsidP="004D69A0">
            <w:pPr>
              <w:rPr>
                <w:rFonts w:cstheme="minorHAnsi"/>
                <w:szCs w:val="22"/>
                <w:lang w:val="en-US"/>
              </w:rPr>
            </w:pPr>
            <w:r w:rsidRPr="00AC6D68">
              <w:rPr>
                <w:rFonts w:cstheme="minorHAnsi"/>
                <w:szCs w:val="22"/>
                <w:lang w:val="en-US"/>
              </w:rPr>
              <w:t>Free ‘</w:t>
            </w:r>
            <w:hyperlink r:id="rId20" w:history="1">
              <w:r w:rsidRPr="00AC6D68">
                <w:rPr>
                  <w:rStyle w:val="Hyperlink"/>
                  <w:rFonts w:cstheme="minorHAnsi"/>
                  <w:szCs w:val="22"/>
                  <w:lang w:val="en-US"/>
                </w:rPr>
                <w:t>Working within Child Protection</w:t>
              </w:r>
            </w:hyperlink>
            <w:r w:rsidRPr="00AC6D68">
              <w:rPr>
                <w:rFonts w:cstheme="minorHAnsi"/>
                <w:szCs w:val="22"/>
                <w:lang w:val="en-US"/>
              </w:rPr>
              <w:t>’ event took place on 6</w:t>
            </w:r>
            <w:r w:rsidRPr="00AC6D68">
              <w:rPr>
                <w:rFonts w:cstheme="minorHAnsi"/>
                <w:szCs w:val="22"/>
                <w:vertAlign w:val="superscript"/>
                <w:lang w:val="en-US"/>
              </w:rPr>
              <w:t>th</w:t>
            </w:r>
            <w:r w:rsidRPr="00AC6D68">
              <w:rPr>
                <w:rFonts w:cstheme="minorHAnsi"/>
                <w:szCs w:val="22"/>
                <w:lang w:val="en-US"/>
              </w:rPr>
              <w:t xml:space="preserve"> May. ‘What Makes a Good Referral’ webinar in development.</w:t>
            </w:r>
          </w:p>
          <w:p w14:paraId="430854D8" w14:textId="4D2A33B6" w:rsidR="00AC6D68" w:rsidRDefault="00AC6D68" w:rsidP="004D69A0">
            <w:pPr>
              <w:rPr>
                <w:rFonts w:eastAsia="Aptos" w:cs="Calibri"/>
              </w:rPr>
            </w:pPr>
          </w:p>
        </w:tc>
      </w:tr>
      <w:tr w:rsidR="00E11A47" w14:paraId="324AC536" w14:textId="77777777">
        <w:tc>
          <w:tcPr>
            <w:tcW w:w="4508" w:type="dxa"/>
          </w:tcPr>
          <w:p w14:paraId="557D163E" w14:textId="6CD4CFBE" w:rsidR="00AC6D68" w:rsidRPr="00AC6D68" w:rsidRDefault="00AC6D68" w:rsidP="00AC6D68">
            <w:pPr>
              <w:spacing w:before="60" w:after="120"/>
              <w:jc w:val="both"/>
              <w:rPr>
                <w:rFonts w:cstheme="minorHAnsi"/>
                <w:szCs w:val="22"/>
              </w:rPr>
            </w:pPr>
            <w:r w:rsidRPr="003E4826">
              <w:rPr>
                <w:rFonts w:cstheme="minorHAnsi"/>
                <w:b/>
                <w:bCs/>
                <w:szCs w:val="22"/>
                <w:lang w:val="en-US"/>
              </w:rPr>
              <w:t>Legal Orders &amp; their meaning</w:t>
            </w:r>
          </w:p>
          <w:p w14:paraId="3E27B6F3" w14:textId="77777777" w:rsidR="00E11A47" w:rsidRDefault="00E11A47" w:rsidP="004D69A0">
            <w:pPr>
              <w:rPr>
                <w:rFonts w:eastAsia="Aptos" w:cs="Calibri"/>
              </w:rPr>
            </w:pPr>
          </w:p>
        </w:tc>
        <w:tc>
          <w:tcPr>
            <w:tcW w:w="4508" w:type="dxa"/>
          </w:tcPr>
          <w:p w14:paraId="7460BFC5" w14:textId="7CDB57F7" w:rsidR="003E4826" w:rsidRDefault="003E4826" w:rsidP="004D69A0">
            <w:pPr>
              <w:rPr>
                <w:rFonts w:cstheme="minorHAnsi"/>
                <w:szCs w:val="22"/>
                <w:lang w:val="en-US"/>
              </w:rPr>
            </w:pPr>
            <w:r w:rsidRPr="00AC6D68">
              <w:rPr>
                <w:rFonts w:cstheme="minorHAnsi"/>
                <w:szCs w:val="22"/>
                <w:lang w:val="en-US"/>
              </w:rPr>
              <w:t>Raised by a cluster member; challenges of ‘deciphering’ an increasing range of orders (Child Arrangement, Prohibited Steps, Non-Molestatio</w:t>
            </w:r>
            <w:r>
              <w:rPr>
                <w:rFonts w:cstheme="minorHAnsi"/>
                <w:szCs w:val="22"/>
                <w:lang w:val="en-US"/>
              </w:rPr>
              <w:t>n)</w:t>
            </w:r>
          </w:p>
          <w:p w14:paraId="18703296" w14:textId="77777777" w:rsidR="003E4826" w:rsidRDefault="003E4826" w:rsidP="004D69A0">
            <w:pPr>
              <w:rPr>
                <w:rFonts w:cstheme="minorHAnsi"/>
                <w:szCs w:val="22"/>
                <w:lang w:val="en-US"/>
              </w:rPr>
            </w:pPr>
          </w:p>
          <w:p w14:paraId="4A8AC011" w14:textId="4028F33A" w:rsidR="00E11A47" w:rsidRDefault="003E4826" w:rsidP="004D69A0">
            <w:pPr>
              <w:rPr>
                <w:rFonts w:cstheme="minorHAnsi"/>
                <w:szCs w:val="22"/>
                <w:lang w:val="en-US"/>
              </w:rPr>
            </w:pPr>
            <w:r w:rsidRPr="00AC6D68">
              <w:rPr>
                <w:rFonts w:cstheme="minorHAnsi"/>
                <w:szCs w:val="22"/>
                <w:lang w:val="en-US"/>
              </w:rPr>
              <w:t xml:space="preserve">The Risk Assessment &amp; Thresholds webinar took place in </w:t>
            </w:r>
            <w:r w:rsidR="00C57901">
              <w:rPr>
                <w:rFonts w:cstheme="minorHAnsi"/>
                <w:szCs w:val="22"/>
                <w:lang w:val="en-US"/>
              </w:rPr>
              <w:t>February 2025.</w:t>
            </w:r>
            <w:r w:rsidRPr="00AC6D68">
              <w:rPr>
                <w:rFonts w:cstheme="minorHAnsi"/>
                <w:szCs w:val="22"/>
                <w:lang w:val="en-US"/>
              </w:rPr>
              <w:t xml:space="preserve"> </w:t>
            </w:r>
          </w:p>
          <w:p w14:paraId="6D2FD381" w14:textId="77777777" w:rsidR="00C60F74" w:rsidRDefault="00C60F74" w:rsidP="004D69A0">
            <w:pPr>
              <w:rPr>
                <w:rFonts w:eastAsia="Aptos" w:cs="Calibri"/>
              </w:rPr>
            </w:pPr>
          </w:p>
          <w:p w14:paraId="14A252AF" w14:textId="59EB0D4D" w:rsidR="00C60F74" w:rsidRDefault="00C60F74" w:rsidP="004D69A0">
            <w:pPr>
              <w:rPr>
                <w:rFonts w:eastAsia="Aptos" w:cs="Calibri"/>
              </w:rPr>
            </w:pPr>
            <w:r>
              <w:rPr>
                <w:rFonts w:eastAsia="Aptos" w:cs="Calibri"/>
              </w:rPr>
              <w:t>Legal Audits and Court Orders briefing circulated.</w:t>
            </w:r>
          </w:p>
        </w:tc>
      </w:tr>
      <w:tr w:rsidR="00E11A47" w14:paraId="52D73123" w14:textId="77777777">
        <w:tc>
          <w:tcPr>
            <w:tcW w:w="4508" w:type="dxa"/>
          </w:tcPr>
          <w:p w14:paraId="2A261C75" w14:textId="588EB5FC" w:rsidR="009C7EC5" w:rsidRPr="009C7EC5" w:rsidRDefault="009C7EC5" w:rsidP="00DF33A3">
            <w:pPr>
              <w:spacing w:before="60" w:after="120"/>
              <w:rPr>
                <w:rFonts w:cstheme="minorHAnsi"/>
                <w:szCs w:val="22"/>
              </w:rPr>
            </w:pPr>
            <w:r>
              <w:rPr>
                <w:rFonts w:cstheme="minorHAnsi"/>
                <w:b/>
                <w:bCs/>
                <w:szCs w:val="22"/>
                <w:lang w:val="en-US"/>
              </w:rPr>
              <w:t xml:space="preserve">Issues with completing the </w:t>
            </w:r>
            <w:r w:rsidRPr="009C7EC5">
              <w:rPr>
                <w:rFonts w:cstheme="minorHAnsi"/>
                <w:b/>
                <w:bCs/>
                <w:szCs w:val="22"/>
                <w:lang w:val="en-US"/>
              </w:rPr>
              <w:t>BIC100</w:t>
            </w:r>
            <w:r>
              <w:rPr>
                <w:rFonts w:cstheme="minorHAnsi"/>
                <w:b/>
                <w:bCs/>
                <w:szCs w:val="22"/>
                <w:lang w:val="en-US"/>
              </w:rPr>
              <w:t xml:space="preserve"> (Children’s Services Referral Form) </w:t>
            </w:r>
          </w:p>
          <w:p w14:paraId="1BB32D54" w14:textId="77777777" w:rsidR="00E11A47" w:rsidRDefault="00E11A47" w:rsidP="004D69A0">
            <w:pPr>
              <w:rPr>
                <w:rFonts w:eastAsia="Aptos" w:cs="Calibri"/>
              </w:rPr>
            </w:pPr>
          </w:p>
        </w:tc>
        <w:tc>
          <w:tcPr>
            <w:tcW w:w="4508" w:type="dxa"/>
          </w:tcPr>
          <w:p w14:paraId="43DEBBCB" w14:textId="5F88E1C2" w:rsidR="00E11A47" w:rsidRDefault="009C7EC5" w:rsidP="004D69A0">
            <w:pPr>
              <w:rPr>
                <w:rFonts w:eastAsia="Aptos" w:cs="Calibri"/>
              </w:rPr>
            </w:pPr>
            <w:r w:rsidRPr="009C7EC5">
              <w:rPr>
                <w:rFonts w:cstheme="minorHAnsi"/>
                <w:szCs w:val="22"/>
                <w:lang w:val="en-US"/>
              </w:rPr>
              <w:t>Issues with completing this form have been shared with Children’s Services and escalated via IT.</w:t>
            </w:r>
          </w:p>
        </w:tc>
      </w:tr>
      <w:tr w:rsidR="00E11A47" w14:paraId="6AC9C62C" w14:textId="77777777">
        <w:tc>
          <w:tcPr>
            <w:tcW w:w="4508" w:type="dxa"/>
          </w:tcPr>
          <w:p w14:paraId="5D620933" w14:textId="018D0EE1" w:rsidR="00E11A47" w:rsidRDefault="00DB4A8E" w:rsidP="004D69A0">
            <w:pPr>
              <w:rPr>
                <w:rFonts w:eastAsia="Aptos" w:cs="Calibri"/>
              </w:rPr>
            </w:pPr>
            <w:r w:rsidRPr="00B67743">
              <w:rPr>
                <w:rFonts w:cstheme="minorHAnsi"/>
                <w:b/>
                <w:bCs/>
                <w:szCs w:val="22"/>
                <w:lang w:val="en-US"/>
              </w:rPr>
              <w:lastRenderedPageBreak/>
              <w:t xml:space="preserve">Identifying Managers for Escalation Process </w:t>
            </w:r>
          </w:p>
        </w:tc>
        <w:tc>
          <w:tcPr>
            <w:tcW w:w="4508" w:type="dxa"/>
          </w:tcPr>
          <w:p w14:paraId="1507E430" w14:textId="1B807DEB" w:rsidR="00E11A47" w:rsidRDefault="00DB4A8E" w:rsidP="004D69A0">
            <w:pPr>
              <w:rPr>
                <w:rFonts w:eastAsia="Aptos" w:cs="Calibri"/>
              </w:rPr>
            </w:pPr>
            <w:r w:rsidRPr="00B67743">
              <w:rPr>
                <w:rFonts w:cstheme="minorHAnsi"/>
                <w:szCs w:val="22"/>
                <w:lang w:val="en-US"/>
              </w:rPr>
              <w:t>Raised with Children’s Services; suggestion is to email the admin team who can supply the correct manager details</w:t>
            </w:r>
          </w:p>
        </w:tc>
      </w:tr>
      <w:tr w:rsidR="008C570A" w14:paraId="347F874B" w14:textId="77777777">
        <w:tc>
          <w:tcPr>
            <w:tcW w:w="4508" w:type="dxa"/>
          </w:tcPr>
          <w:p w14:paraId="2A7C400A" w14:textId="005EA921" w:rsidR="00DB4A8E" w:rsidRPr="00DB4A8E" w:rsidRDefault="00DB4A8E" w:rsidP="00DB4A8E">
            <w:pPr>
              <w:spacing w:before="60" w:after="120"/>
              <w:jc w:val="both"/>
              <w:rPr>
                <w:rFonts w:cstheme="minorHAnsi"/>
                <w:szCs w:val="22"/>
              </w:rPr>
            </w:pPr>
            <w:r w:rsidRPr="00DB4A8E">
              <w:rPr>
                <w:rFonts w:cstheme="minorHAnsi"/>
                <w:b/>
                <w:bCs/>
                <w:szCs w:val="22"/>
                <w:lang w:val="en-US"/>
              </w:rPr>
              <w:t xml:space="preserve">Use of AI: </w:t>
            </w:r>
          </w:p>
          <w:p w14:paraId="2516E44E" w14:textId="77777777" w:rsidR="008C570A" w:rsidRDefault="008C570A" w:rsidP="004D69A0">
            <w:pPr>
              <w:rPr>
                <w:rFonts w:eastAsia="Aptos" w:cs="Calibri"/>
              </w:rPr>
            </w:pPr>
          </w:p>
        </w:tc>
        <w:tc>
          <w:tcPr>
            <w:tcW w:w="4508" w:type="dxa"/>
          </w:tcPr>
          <w:p w14:paraId="75873911" w14:textId="77777777" w:rsidR="00DB4A8E" w:rsidRDefault="00DB4A8E" w:rsidP="004D69A0">
            <w:pPr>
              <w:rPr>
                <w:rFonts w:cstheme="minorHAnsi"/>
                <w:szCs w:val="22"/>
                <w:lang w:val="en-US"/>
              </w:rPr>
            </w:pPr>
            <w:r w:rsidRPr="00DB4A8E">
              <w:rPr>
                <w:rFonts w:cstheme="minorHAnsi"/>
                <w:szCs w:val="22"/>
                <w:lang w:val="en-US"/>
              </w:rPr>
              <w:t>Raised by a Cluster member;</w:t>
            </w:r>
            <w:r w:rsidRPr="00DB4A8E">
              <w:rPr>
                <w:rFonts w:cstheme="minorHAnsi"/>
                <w:b/>
                <w:bCs/>
                <w:szCs w:val="22"/>
                <w:lang w:val="en-US"/>
              </w:rPr>
              <w:t xml:space="preserve"> </w:t>
            </w:r>
            <w:r w:rsidRPr="00DB4A8E">
              <w:rPr>
                <w:rFonts w:cstheme="minorHAnsi"/>
                <w:szCs w:val="22"/>
                <w:lang w:val="en-US"/>
              </w:rPr>
              <w:t>DSL’s are concerned about this area</w:t>
            </w:r>
            <w:r>
              <w:rPr>
                <w:rFonts w:cstheme="minorHAnsi"/>
                <w:szCs w:val="22"/>
                <w:lang w:val="en-US"/>
              </w:rPr>
              <w:t>.</w:t>
            </w:r>
          </w:p>
          <w:p w14:paraId="374864C6" w14:textId="77777777" w:rsidR="00DB4A8E" w:rsidRDefault="00DB4A8E" w:rsidP="004D69A0"/>
          <w:p w14:paraId="39F82222" w14:textId="77777777" w:rsidR="008C570A" w:rsidRDefault="00DB4A8E" w:rsidP="004D69A0">
            <w:pPr>
              <w:rPr>
                <w:rFonts w:cstheme="minorHAnsi"/>
                <w:szCs w:val="22"/>
                <w:lang w:val="en-US"/>
              </w:rPr>
            </w:pPr>
            <w:hyperlink r:id="rId21" w:history="1">
              <w:r w:rsidRPr="00DB4A8E">
                <w:rPr>
                  <w:rStyle w:val="Hyperlink"/>
                  <w:rFonts w:cstheme="minorHAnsi"/>
                  <w:szCs w:val="22"/>
                  <w:lang w:val="en-US"/>
                </w:rPr>
                <w:t>Information</w:t>
              </w:r>
            </w:hyperlink>
            <w:r w:rsidRPr="00DB4A8E">
              <w:rPr>
                <w:rFonts w:cstheme="minorHAnsi"/>
                <w:szCs w:val="22"/>
                <w:lang w:val="en-US"/>
              </w:rPr>
              <w:t xml:space="preserve">/ </w:t>
            </w:r>
            <w:hyperlink r:id="rId22" w:history="1">
              <w:r w:rsidRPr="00DB4A8E">
                <w:rPr>
                  <w:rStyle w:val="Hyperlink"/>
                  <w:rFonts w:cstheme="minorHAnsi"/>
                  <w:szCs w:val="22"/>
                  <w:lang w:val="en-US"/>
                </w:rPr>
                <w:t>resources</w:t>
              </w:r>
            </w:hyperlink>
            <w:r w:rsidRPr="00DB4A8E">
              <w:rPr>
                <w:rFonts w:cstheme="minorHAnsi"/>
                <w:szCs w:val="22"/>
                <w:lang w:val="en-US"/>
              </w:rPr>
              <w:t xml:space="preserve"> shared, new funded training (TACSA) is now available</w:t>
            </w:r>
            <w:r>
              <w:rPr>
                <w:rFonts w:cstheme="minorHAnsi"/>
                <w:szCs w:val="22"/>
                <w:lang w:val="en-US"/>
              </w:rPr>
              <w:t>, future briefings being drafted.</w:t>
            </w:r>
          </w:p>
          <w:p w14:paraId="7A4141A0" w14:textId="1873F967" w:rsidR="00DB4A8E" w:rsidRDefault="00DB4A8E" w:rsidP="004D69A0">
            <w:pPr>
              <w:rPr>
                <w:rFonts w:eastAsia="Aptos" w:cs="Calibri"/>
              </w:rPr>
            </w:pPr>
          </w:p>
        </w:tc>
      </w:tr>
    </w:tbl>
    <w:p w14:paraId="53D2316B" w14:textId="77777777" w:rsidR="008C570A" w:rsidRPr="008D11F0" w:rsidRDefault="008C570A" w:rsidP="004D69A0">
      <w:pPr>
        <w:spacing w:after="0" w:line="240" w:lineRule="auto"/>
        <w:rPr>
          <w:rFonts w:eastAsia="Aptos" w:cs="Calibri"/>
        </w:rPr>
      </w:pPr>
    </w:p>
    <w:p w14:paraId="4CBD1B84" w14:textId="2C3275DA" w:rsidR="004D69A0" w:rsidRDefault="004D69A0" w:rsidP="004D69A0">
      <w:pPr>
        <w:spacing w:after="0" w:line="240" w:lineRule="auto"/>
        <w:rPr>
          <w:rFonts w:eastAsia="Aptos" w:cs="Calibri"/>
        </w:rPr>
      </w:pPr>
      <w:r w:rsidRPr="00477942">
        <w:rPr>
          <w:rFonts w:eastAsia="Aptos" w:cs="Calibri"/>
        </w:rPr>
        <w:t>Similar links have now been made with the Early Years Networks who have received partnership</w:t>
      </w:r>
      <w:r w:rsidR="00530C32" w:rsidRPr="008D11F0">
        <w:rPr>
          <w:rFonts w:eastAsia="Aptos" w:cs="Calibri"/>
        </w:rPr>
        <w:t xml:space="preserve"> updates</w:t>
      </w:r>
      <w:r w:rsidRPr="00477942">
        <w:rPr>
          <w:rFonts w:eastAsia="Aptos" w:cs="Calibri"/>
        </w:rPr>
        <w:t>,</w:t>
      </w:r>
      <w:r w:rsidR="00530C32" w:rsidRPr="008D11F0">
        <w:rPr>
          <w:rFonts w:eastAsia="Aptos" w:cs="Calibri"/>
        </w:rPr>
        <w:t xml:space="preserve"> including</w:t>
      </w:r>
      <w:r w:rsidRPr="00477942">
        <w:rPr>
          <w:rFonts w:eastAsia="Aptos" w:cs="Calibri"/>
        </w:rPr>
        <w:t xml:space="preserve"> training and learning from case review</w:t>
      </w:r>
      <w:r w:rsidR="00530C32" w:rsidRPr="008D11F0">
        <w:rPr>
          <w:rFonts w:eastAsia="Aptos" w:cs="Calibri"/>
        </w:rPr>
        <w:t>s</w:t>
      </w:r>
      <w:r w:rsidRPr="00477942">
        <w:rPr>
          <w:rFonts w:eastAsia="Aptos" w:cs="Calibri"/>
        </w:rPr>
        <w:t xml:space="preserve">. Issues raised by the Early Years networks have </w:t>
      </w:r>
      <w:r w:rsidR="00530C32" w:rsidRPr="008D11F0">
        <w:rPr>
          <w:rFonts w:eastAsia="Aptos" w:cs="Calibri"/>
        </w:rPr>
        <w:t>mainly</w:t>
      </w:r>
      <w:r w:rsidRPr="00477942">
        <w:rPr>
          <w:rFonts w:eastAsia="Aptos" w:cs="Calibri"/>
        </w:rPr>
        <w:t xml:space="preserve"> focused </w:t>
      </w:r>
      <w:r w:rsidR="008D6894" w:rsidRPr="00477942">
        <w:rPr>
          <w:rFonts w:eastAsia="Aptos" w:cs="Calibri"/>
        </w:rPr>
        <w:t>on</w:t>
      </w:r>
      <w:r w:rsidRPr="00477942">
        <w:rPr>
          <w:rFonts w:eastAsia="Aptos" w:cs="Calibri"/>
        </w:rPr>
        <w:t xml:space="preserve"> the LADO </w:t>
      </w:r>
      <w:r w:rsidR="00E674E2" w:rsidRPr="00477942">
        <w:rPr>
          <w:rFonts w:eastAsia="Aptos" w:cs="Calibri"/>
        </w:rPr>
        <w:t>processes;</w:t>
      </w:r>
      <w:r w:rsidRPr="00477942">
        <w:rPr>
          <w:rFonts w:eastAsia="Aptos" w:cs="Calibri"/>
        </w:rPr>
        <w:t xml:space="preserve"> therefore links have been mad</w:t>
      </w:r>
      <w:r w:rsidR="00D14456" w:rsidRPr="008D11F0">
        <w:rPr>
          <w:rFonts w:eastAsia="Aptos" w:cs="Calibri"/>
        </w:rPr>
        <w:t>e</w:t>
      </w:r>
      <w:r w:rsidRPr="00477942">
        <w:rPr>
          <w:rFonts w:eastAsia="Aptos" w:cs="Calibri"/>
        </w:rPr>
        <w:t xml:space="preserve"> with the LADO Service.</w:t>
      </w:r>
    </w:p>
    <w:p w14:paraId="4D0DDC00" w14:textId="77777777" w:rsidR="00411B19" w:rsidRDefault="00411B19" w:rsidP="004D69A0">
      <w:pPr>
        <w:spacing w:after="0" w:line="240" w:lineRule="auto"/>
        <w:rPr>
          <w:rFonts w:eastAsia="Aptos" w:cs="Calibri"/>
        </w:rPr>
      </w:pPr>
    </w:p>
    <w:p w14:paraId="36A3778C" w14:textId="62A468BA" w:rsidR="00411B19" w:rsidRPr="00A36BEE" w:rsidRDefault="00411B19" w:rsidP="004D69A0">
      <w:pPr>
        <w:spacing w:after="0" w:line="240" w:lineRule="auto"/>
        <w:rPr>
          <w:rFonts w:eastAsia="Aptos" w:cs="Calibri"/>
          <w:b/>
          <w:bCs/>
        </w:rPr>
      </w:pPr>
      <w:r w:rsidRPr="00A36BEE">
        <w:rPr>
          <w:rFonts w:eastAsia="Aptos" w:cs="Calibri"/>
          <w:b/>
          <w:bCs/>
        </w:rPr>
        <w:t>Multi-Agency Joint Supervisions</w:t>
      </w:r>
      <w:r w:rsidR="00D331E3" w:rsidRPr="00A36BEE">
        <w:rPr>
          <w:rFonts w:eastAsia="Aptos" w:cs="Calibri"/>
          <w:b/>
          <w:bCs/>
        </w:rPr>
        <w:t>:</w:t>
      </w:r>
    </w:p>
    <w:p w14:paraId="6AAFCE26" w14:textId="77777777" w:rsidR="00F165AC" w:rsidRDefault="00F165AC" w:rsidP="004D69A0">
      <w:pPr>
        <w:spacing w:after="0" w:line="240" w:lineRule="auto"/>
        <w:rPr>
          <w:rFonts w:eastAsia="Aptos" w:cs="Calibri"/>
        </w:rPr>
      </w:pPr>
      <w:r>
        <w:rPr>
          <w:rFonts w:eastAsia="Aptos" w:cs="Calibri"/>
        </w:rPr>
        <w:t>During the last year the Central Bedfordshire Safeguarding Children Partnership has developed a process for Multi-Agency Joint Supervisions.</w:t>
      </w:r>
    </w:p>
    <w:p w14:paraId="771AD523" w14:textId="77777777" w:rsidR="00F165AC" w:rsidRDefault="00F165AC" w:rsidP="004D69A0">
      <w:pPr>
        <w:spacing w:after="0" w:line="240" w:lineRule="auto"/>
        <w:rPr>
          <w:rFonts w:eastAsia="Aptos" w:cs="Calibri"/>
        </w:rPr>
      </w:pPr>
    </w:p>
    <w:p w14:paraId="741DFE11" w14:textId="75847F76" w:rsidR="00D331E3" w:rsidRDefault="00D331E3" w:rsidP="004D69A0">
      <w:pPr>
        <w:spacing w:after="0" w:line="240" w:lineRule="auto"/>
        <w:rPr>
          <w:rFonts w:eastAsia="Aptos" w:cs="Calibri"/>
        </w:rPr>
      </w:pPr>
      <w:r w:rsidRPr="00D331E3">
        <w:rPr>
          <w:rFonts w:eastAsia="Aptos" w:cs="Calibri"/>
        </w:rPr>
        <w:t xml:space="preserve">The relationship between core agencies in safeguarding vulnerable children is crucial in identifying the most effective support for children, young people and families and which promotes best practice in delivering interventions that bring about lasting change.  </w:t>
      </w:r>
    </w:p>
    <w:p w14:paraId="14648EFE" w14:textId="77777777" w:rsidR="00F165AC" w:rsidRDefault="00F165AC" w:rsidP="004D69A0">
      <w:pPr>
        <w:spacing w:after="0" w:line="240" w:lineRule="auto"/>
        <w:rPr>
          <w:rFonts w:eastAsia="Aptos" w:cs="Calibri"/>
        </w:rPr>
      </w:pPr>
    </w:p>
    <w:p w14:paraId="35F73C33" w14:textId="4D2257DE" w:rsidR="00F165AC" w:rsidRDefault="00F165AC" w:rsidP="004D69A0">
      <w:pPr>
        <w:spacing w:after="0" w:line="240" w:lineRule="auto"/>
        <w:rPr>
          <w:rFonts w:eastAsia="Aptos" w:cs="Calibri"/>
        </w:rPr>
      </w:pPr>
      <w:r w:rsidRPr="00F165AC">
        <w:rPr>
          <w:rFonts w:eastAsia="Aptos" w:cs="Calibri"/>
        </w:rPr>
        <w:t>Effective collaboration through formal joint supervision between agencies provides a safe forum for exploring complex or challenging situations or addressing circumstances where there is drift, to promote an understanding of what may be happening for a child, ensuring we take a trauma informed view, increasing awareness of different perspectives, and promote system wide learning</w:t>
      </w:r>
      <w:r w:rsidR="00A36BEE">
        <w:rPr>
          <w:rFonts w:eastAsia="Aptos" w:cs="Calibri"/>
        </w:rPr>
        <w:t>.</w:t>
      </w:r>
    </w:p>
    <w:p w14:paraId="075D6B43" w14:textId="77777777" w:rsidR="00ED00FC" w:rsidRDefault="00ED00FC" w:rsidP="004D69A0">
      <w:pPr>
        <w:spacing w:after="0" w:line="240" w:lineRule="auto"/>
        <w:rPr>
          <w:rFonts w:eastAsia="Aptos" w:cs="Calibri"/>
        </w:rPr>
      </w:pPr>
    </w:p>
    <w:p w14:paraId="6A4D3325" w14:textId="3560582A" w:rsidR="00ED00FC" w:rsidRPr="00477942" w:rsidRDefault="00ED00FC" w:rsidP="004D69A0">
      <w:pPr>
        <w:spacing w:after="0" w:line="240" w:lineRule="auto"/>
        <w:rPr>
          <w:rFonts w:eastAsia="Aptos" w:cs="Calibri"/>
        </w:rPr>
      </w:pPr>
      <w:r>
        <w:rPr>
          <w:rFonts w:eastAsia="Aptos" w:cs="Calibri"/>
          <w:noProof/>
        </w:rPr>
        <w:drawing>
          <wp:inline distT="0" distB="0" distL="0" distR="0" wp14:anchorId="080657BA" wp14:editId="70EFAA2C">
            <wp:extent cx="1969135" cy="1901825"/>
            <wp:effectExtent l="0" t="0" r="0" b="3175"/>
            <wp:docPr id="974048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69135" cy="1901825"/>
                    </a:xfrm>
                    <a:prstGeom prst="rect">
                      <a:avLst/>
                    </a:prstGeom>
                    <a:noFill/>
                  </pic:spPr>
                </pic:pic>
              </a:graphicData>
            </a:graphic>
          </wp:inline>
        </w:drawing>
      </w:r>
    </w:p>
    <w:p w14:paraId="5C19FEC5" w14:textId="77777777" w:rsidR="002B503A" w:rsidRDefault="002B503A" w:rsidP="004D69A0">
      <w:pPr>
        <w:spacing w:after="0" w:line="240" w:lineRule="auto"/>
        <w:rPr>
          <w:b/>
          <w:bCs/>
        </w:rPr>
      </w:pPr>
    </w:p>
    <w:p w14:paraId="0DD5784A" w14:textId="777845C8" w:rsidR="004D69A0" w:rsidRDefault="009F31EB" w:rsidP="004D69A0">
      <w:pPr>
        <w:spacing w:after="0" w:line="240" w:lineRule="auto"/>
        <w:rPr>
          <w:b/>
          <w:bCs/>
        </w:rPr>
      </w:pPr>
      <w:r w:rsidRPr="002B503A">
        <w:rPr>
          <w:b/>
          <w:bCs/>
        </w:rPr>
        <w:t>Safeguarding Bedfordshire Website:</w:t>
      </w:r>
    </w:p>
    <w:p w14:paraId="2886381E" w14:textId="6D3A9462" w:rsidR="00197C6A" w:rsidRDefault="00197C6A" w:rsidP="004D69A0">
      <w:pPr>
        <w:spacing w:after="0" w:line="240" w:lineRule="auto"/>
      </w:pPr>
      <w:r>
        <w:t xml:space="preserve">The new Safeguarding Bedfordshire website launched in July 2023 and </w:t>
      </w:r>
      <w:r w:rsidR="00DE5457">
        <w:t>has continued to be developed and updated.</w:t>
      </w:r>
      <w:r w:rsidR="00572CF5">
        <w:t xml:space="preserve"> The website hosts lots of information </w:t>
      </w:r>
      <w:r w:rsidR="008F46BF">
        <w:t>regarding our safeguarding arrangements, l</w:t>
      </w:r>
      <w:r w:rsidR="00332A03">
        <w:t>ots of useful information and advice and access to lots of resources, toolkits</w:t>
      </w:r>
      <w:r w:rsidR="00F96491">
        <w:t>, case review learning and</w:t>
      </w:r>
      <w:r w:rsidR="00332A03">
        <w:t xml:space="preserve"> training.</w:t>
      </w:r>
    </w:p>
    <w:p w14:paraId="7E4879A6" w14:textId="77777777" w:rsidR="00F96491" w:rsidRDefault="00F96491" w:rsidP="004D69A0">
      <w:pPr>
        <w:spacing w:after="0" w:line="240" w:lineRule="auto"/>
      </w:pPr>
    </w:p>
    <w:p w14:paraId="05BDB538" w14:textId="05245CB7" w:rsidR="00F96491" w:rsidRDefault="00F96491" w:rsidP="004D69A0">
      <w:pPr>
        <w:spacing w:after="0" w:line="240" w:lineRule="auto"/>
      </w:pPr>
      <w:r>
        <w:t>During 2024/25</w:t>
      </w:r>
      <w:r w:rsidR="00304787">
        <w:t xml:space="preserve">, </w:t>
      </w:r>
      <w:r w:rsidR="00304787" w:rsidRPr="00304787">
        <w:t>288,404 people visited the website</w:t>
      </w:r>
      <w:r w:rsidR="00304787">
        <w:t>, with</w:t>
      </w:r>
      <w:r w:rsidR="00304787" w:rsidRPr="00304787">
        <w:t xml:space="preserve"> 144,326 click</w:t>
      </w:r>
      <w:r w:rsidR="00304787">
        <w:t>ing</w:t>
      </w:r>
      <w:r w:rsidR="00304787" w:rsidRPr="00304787">
        <w:t xml:space="preserve"> on the home page.  The chart below shows the top 10 pages visited in 2024/25.</w:t>
      </w:r>
    </w:p>
    <w:p w14:paraId="72588D5D" w14:textId="77777777" w:rsidR="00304787" w:rsidRDefault="00304787" w:rsidP="004D69A0">
      <w:pPr>
        <w:spacing w:after="0" w:line="240" w:lineRule="auto"/>
      </w:pPr>
    </w:p>
    <w:tbl>
      <w:tblPr>
        <w:tblStyle w:val="TableGrid"/>
        <w:tblW w:w="0" w:type="auto"/>
        <w:tblLook w:val="04A0" w:firstRow="1" w:lastRow="0" w:firstColumn="1" w:lastColumn="0" w:noHBand="0" w:noVBand="1"/>
      </w:tblPr>
      <w:tblGrid>
        <w:gridCol w:w="3005"/>
        <w:gridCol w:w="3005"/>
        <w:gridCol w:w="3006"/>
      </w:tblGrid>
      <w:tr w:rsidR="00E73F0C" w14:paraId="27086EDC" w14:textId="77777777" w:rsidTr="00E73F0C">
        <w:tc>
          <w:tcPr>
            <w:tcW w:w="3005" w:type="dxa"/>
          </w:tcPr>
          <w:p w14:paraId="44D74A9C" w14:textId="7F24CEF2" w:rsidR="00E73F0C" w:rsidRPr="00E73F0C" w:rsidRDefault="00E73F0C" w:rsidP="00E73F0C">
            <w:pPr>
              <w:jc w:val="center"/>
              <w:rPr>
                <w:b/>
                <w:bCs/>
              </w:rPr>
            </w:pPr>
            <w:r w:rsidRPr="00E73F0C">
              <w:rPr>
                <w:b/>
                <w:bCs/>
              </w:rPr>
              <w:t>Page</w:t>
            </w:r>
          </w:p>
        </w:tc>
        <w:tc>
          <w:tcPr>
            <w:tcW w:w="3005" w:type="dxa"/>
          </w:tcPr>
          <w:p w14:paraId="125621E9" w14:textId="7C3ADA29" w:rsidR="00E73F0C" w:rsidRPr="00E73F0C" w:rsidRDefault="00E73F0C" w:rsidP="00E73F0C">
            <w:pPr>
              <w:jc w:val="center"/>
              <w:rPr>
                <w:b/>
                <w:bCs/>
              </w:rPr>
            </w:pPr>
            <w:r w:rsidRPr="00E73F0C">
              <w:rPr>
                <w:b/>
                <w:bCs/>
              </w:rPr>
              <w:t>Number of hits</w:t>
            </w:r>
          </w:p>
        </w:tc>
        <w:tc>
          <w:tcPr>
            <w:tcW w:w="3006" w:type="dxa"/>
          </w:tcPr>
          <w:p w14:paraId="0D5F95F4" w14:textId="71BF0EB1" w:rsidR="00E73F0C" w:rsidRPr="00E73F0C" w:rsidRDefault="00E73F0C" w:rsidP="00E73F0C">
            <w:pPr>
              <w:jc w:val="center"/>
              <w:rPr>
                <w:b/>
                <w:bCs/>
              </w:rPr>
            </w:pPr>
            <w:r w:rsidRPr="00E73F0C">
              <w:rPr>
                <w:b/>
                <w:bCs/>
              </w:rPr>
              <w:t>Rating</w:t>
            </w:r>
          </w:p>
        </w:tc>
      </w:tr>
      <w:tr w:rsidR="00E73F0C" w14:paraId="47BE024A" w14:textId="77777777" w:rsidTr="00E73F0C">
        <w:trPr>
          <w:trHeight w:val="390"/>
        </w:trPr>
        <w:tc>
          <w:tcPr>
            <w:tcW w:w="3005" w:type="dxa"/>
            <w:hideMark/>
          </w:tcPr>
          <w:p w14:paraId="29F9528B" w14:textId="77777777" w:rsidR="00E73F0C" w:rsidRDefault="00E73F0C">
            <w:pPr>
              <w:rPr>
                <w:rFonts w:eastAsia="Times New Roman"/>
                <w:color w:val="000000"/>
              </w:rPr>
            </w:pPr>
            <w:r>
              <w:rPr>
                <w:rFonts w:eastAsia="Times New Roman"/>
                <w:color w:val="000000"/>
              </w:rPr>
              <w:t>Safeguarding Bedfordshire Training</w:t>
            </w:r>
          </w:p>
        </w:tc>
        <w:tc>
          <w:tcPr>
            <w:tcW w:w="3005" w:type="dxa"/>
            <w:hideMark/>
          </w:tcPr>
          <w:p w14:paraId="5CE077B2" w14:textId="77777777" w:rsidR="00E73F0C" w:rsidRDefault="00E73F0C">
            <w:pPr>
              <w:jc w:val="center"/>
              <w:rPr>
                <w:rFonts w:eastAsia="Times New Roman"/>
                <w:color w:val="000000"/>
              </w:rPr>
            </w:pPr>
            <w:r>
              <w:rPr>
                <w:rFonts w:eastAsia="Times New Roman"/>
                <w:color w:val="000000"/>
              </w:rPr>
              <w:t>10455</w:t>
            </w:r>
          </w:p>
        </w:tc>
        <w:tc>
          <w:tcPr>
            <w:tcW w:w="3006" w:type="dxa"/>
            <w:hideMark/>
          </w:tcPr>
          <w:p w14:paraId="2A5CDE04" w14:textId="77777777" w:rsidR="00E73F0C" w:rsidRDefault="00E73F0C">
            <w:pPr>
              <w:rPr>
                <w:rFonts w:eastAsia="Times New Roman"/>
                <w:color w:val="000000"/>
              </w:rPr>
            </w:pPr>
            <w:r>
              <w:rPr>
                <w:rFonts w:eastAsia="Times New Roman"/>
                <w:color w:val="000000"/>
              </w:rPr>
              <w:t>Most visited page (after homepage)</w:t>
            </w:r>
          </w:p>
        </w:tc>
      </w:tr>
      <w:tr w:rsidR="00E73F0C" w14:paraId="12B1DBA6" w14:textId="77777777" w:rsidTr="00E73F0C">
        <w:trPr>
          <w:trHeight w:val="390"/>
        </w:trPr>
        <w:tc>
          <w:tcPr>
            <w:tcW w:w="3005" w:type="dxa"/>
            <w:hideMark/>
          </w:tcPr>
          <w:p w14:paraId="5F6AAB9F" w14:textId="77777777" w:rsidR="00E73F0C" w:rsidRDefault="00E73F0C">
            <w:pPr>
              <w:rPr>
                <w:rFonts w:eastAsia="Times New Roman"/>
                <w:color w:val="000000"/>
              </w:rPr>
            </w:pPr>
            <w:r>
              <w:rPr>
                <w:rFonts w:eastAsia="Times New Roman"/>
                <w:color w:val="000000"/>
              </w:rPr>
              <w:t>Central Bedfordshire Safeguarding Children Partnership</w:t>
            </w:r>
          </w:p>
        </w:tc>
        <w:tc>
          <w:tcPr>
            <w:tcW w:w="3005" w:type="dxa"/>
            <w:hideMark/>
          </w:tcPr>
          <w:p w14:paraId="1A46CB54" w14:textId="77777777" w:rsidR="00E73F0C" w:rsidRDefault="00E73F0C">
            <w:pPr>
              <w:jc w:val="center"/>
              <w:rPr>
                <w:rFonts w:eastAsia="Times New Roman"/>
                <w:color w:val="000000"/>
              </w:rPr>
            </w:pPr>
            <w:r>
              <w:rPr>
                <w:rFonts w:eastAsia="Times New Roman"/>
                <w:color w:val="000000"/>
              </w:rPr>
              <w:t>9702</w:t>
            </w:r>
          </w:p>
        </w:tc>
        <w:tc>
          <w:tcPr>
            <w:tcW w:w="3006" w:type="dxa"/>
            <w:hideMark/>
          </w:tcPr>
          <w:p w14:paraId="28F323D1" w14:textId="77777777" w:rsidR="00E73F0C" w:rsidRDefault="00E73F0C">
            <w:pPr>
              <w:rPr>
                <w:rFonts w:eastAsia="Times New Roman"/>
                <w:color w:val="000000"/>
              </w:rPr>
            </w:pPr>
            <w:r>
              <w:rPr>
                <w:rFonts w:eastAsia="Times New Roman"/>
                <w:color w:val="000000"/>
              </w:rPr>
              <w:t>2nd most visited page</w:t>
            </w:r>
          </w:p>
        </w:tc>
      </w:tr>
      <w:tr w:rsidR="00E73F0C" w14:paraId="1A9B60BD" w14:textId="77777777" w:rsidTr="00E73F0C">
        <w:trPr>
          <w:trHeight w:val="390"/>
        </w:trPr>
        <w:tc>
          <w:tcPr>
            <w:tcW w:w="3005" w:type="dxa"/>
            <w:hideMark/>
          </w:tcPr>
          <w:p w14:paraId="4C443729" w14:textId="77777777" w:rsidR="00E73F0C" w:rsidRDefault="00E73F0C">
            <w:pPr>
              <w:rPr>
                <w:rFonts w:eastAsia="Times New Roman"/>
                <w:color w:val="000000"/>
              </w:rPr>
            </w:pPr>
            <w:r>
              <w:rPr>
                <w:rFonts w:eastAsia="Times New Roman"/>
                <w:color w:val="000000"/>
              </w:rPr>
              <w:t>Luton Safeguarding Adults Board</w:t>
            </w:r>
          </w:p>
        </w:tc>
        <w:tc>
          <w:tcPr>
            <w:tcW w:w="3005" w:type="dxa"/>
            <w:hideMark/>
          </w:tcPr>
          <w:p w14:paraId="70050126" w14:textId="77777777" w:rsidR="00E73F0C" w:rsidRDefault="00E73F0C">
            <w:pPr>
              <w:jc w:val="center"/>
              <w:rPr>
                <w:rFonts w:eastAsia="Times New Roman"/>
                <w:color w:val="000000"/>
              </w:rPr>
            </w:pPr>
            <w:r>
              <w:rPr>
                <w:rFonts w:eastAsia="Times New Roman"/>
                <w:color w:val="000000"/>
              </w:rPr>
              <w:t>8843</w:t>
            </w:r>
          </w:p>
        </w:tc>
        <w:tc>
          <w:tcPr>
            <w:tcW w:w="3006" w:type="dxa"/>
            <w:hideMark/>
          </w:tcPr>
          <w:p w14:paraId="0B0A062B" w14:textId="77777777" w:rsidR="00E73F0C" w:rsidRDefault="00E73F0C">
            <w:pPr>
              <w:rPr>
                <w:rFonts w:eastAsia="Times New Roman"/>
                <w:color w:val="000000"/>
              </w:rPr>
            </w:pPr>
            <w:r>
              <w:rPr>
                <w:rFonts w:eastAsia="Times New Roman"/>
                <w:color w:val="000000"/>
              </w:rPr>
              <w:t>3rd most visited page</w:t>
            </w:r>
          </w:p>
        </w:tc>
      </w:tr>
      <w:tr w:rsidR="00E73F0C" w14:paraId="558B5244" w14:textId="77777777" w:rsidTr="00E73F0C">
        <w:trPr>
          <w:trHeight w:val="390"/>
        </w:trPr>
        <w:tc>
          <w:tcPr>
            <w:tcW w:w="3005" w:type="dxa"/>
            <w:hideMark/>
          </w:tcPr>
          <w:p w14:paraId="55DAE037" w14:textId="77777777" w:rsidR="00E73F0C" w:rsidRDefault="00E73F0C">
            <w:pPr>
              <w:rPr>
                <w:rFonts w:eastAsia="Times New Roman"/>
                <w:color w:val="000000"/>
              </w:rPr>
            </w:pPr>
            <w:r>
              <w:rPr>
                <w:rFonts w:eastAsia="Times New Roman"/>
                <w:color w:val="000000"/>
              </w:rPr>
              <w:t>Luton Safeguarding Children Partnership</w:t>
            </w:r>
          </w:p>
        </w:tc>
        <w:tc>
          <w:tcPr>
            <w:tcW w:w="3005" w:type="dxa"/>
            <w:hideMark/>
          </w:tcPr>
          <w:p w14:paraId="48D8889A" w14:textId="77777777" w:rsidR="00E73F0C" w:rsidRDefault="00E73F0C">
            <w:pPr>
              <w:jc w:val="center"/>
              <w:rPr>
                <w:rFonts w:eastAsia="Times New Roman"/>
                <w:color w:val="000000"/>
              </w:rPr>
            </w:pPr>
            <w:r>
              <w:rPr>
                <w:rFonts w:eastAsia="Times New Roman"/>
                <w:color w:val="000000"/>
              </w:rPr>
              <w:t>8811</w:t>
            </w:r>
          </w:p>
        </w:tc>
        <w:tc>
          <w:tcPr>
            <w:tcW w:w="3006" w:type="dxa"/>
            <w:hideMark/>
          </w:tcPr>
          <w:p w14:paraId="35FD67FE" w14:textId="77777777" w:rsidR="00E73F0C" w:rsidRDefault="00E73F0C">
            <w:pPr>
              <w:rPr>
                <w:rFonts w:eastAsia="Times New Roman"/>
                <w:color w:val="000000"/>
              </w:rPr>
            </w:pPr>
            <w:r>
              <w:rPr>
                <w:rFonts w:eastAsia="Times New Roman"/>
                <w:color w:val="000000"/>
              </w:rPr>
              <w:t>4th </w:t>
            </w:r>
          </w:p>
        </w:tc>
      </w:tr>
      <w:tr w:rsidR="00E73F0C" w14:paraId="74937E59" w14:textId="77777777" w:rsidTr="00E73F0C">
        <w:trPr>
          <w:trHeight w:val="390"/>
        </w:trPr>
        <w:tc>
          <w:tcPr>
            <w:tcW w:w="3005" w:type="dxa"/>
            <w:hideMark/>
          </w:tcPr>
          <w:p w14:paraId="5CDFD01F" w14:textId="77777777" w:rsidR="00E73F0C" w:rsidRDefault="00E73F0C">
            <w:pPr>
              <w:rPr>
                <w:rFonts w:eastAsia="Times New Roman"/>
                <w:color w:val="000000"/>
              </w:rPr>
            </w:pPr>
            <w:r>
              <w:rPr>
                <w:rFonts w:eastAsia="Times New Roman"/>
                <w:color w:val="000000"/>
              </w:rPr>
              <w:t>Bedford Borough Safeguarding Children Partnership</w:t>
            </w:r>
          </w:p>
        </w:tc>
        <w:tc>
          <w:tcPr>
            <w:tcW w:w="3005" w:type="dxa"/>
            <w:hideMark/>
          </w:tcPr>
          <w:p w14:paraId="114011CD" w14:textId="77777777" w:rsidR="00E73F0C" w:rsidRDefault="00E73F0C">
            <w:pPr>
              <w:jc w:val="center"/>
              <w:rPr>
                <w:rFonts w:eastAsia="Times New Roman"/>
                <w:color w:val="000000"/>
              </w:rPr>
            </w:pPr>
            <w:r>
              <w:rPr>
                <w:rFonts w:eastAsia="Times New Roman"/>
                <w:color w:val="000000"/>
              </w:rPr>
              <w:t>7327</w:t>
            </w:r>
          </w:p>
        </w:tc>
        <w:tc>
          <w:tcPr>
            <w:tcW w:w="3006" w:type="dxa"/>
            <w:hideMark/>
          </w:tcPr>
          <w:p w14:paraId="61F7A576" w14:textId="77777777" w:rsidR="00E73F0C" w:rsidRDefault="00E73F0C">
            <w:pPr>
              <w:rPr>
                <w:rFonts w:eastAsia="Times New Roman"/>
                <w:color w:val="000000"/>
              </w:rPr>
            </w:pPr>
            <w:r>
              <w:rPr>
                <w:rFonts w:eastAsia="Times New Roman"/>
                <w:color w:val="000000"/>
              </w:rPr>
              <w:t>5th </w:t>
            </w:r>
          </w:p>
        </w:tc>
      </w:tr>
      <w:tr w:rsidR="00E73F0C" w14:paraId="46C6A758" w14:textId="77777777" w:rsidTr="00E73F0C">
        <w:trPr>
          <w:trHeight w:val="390"/>
        </w:trPr>
        <w:tc>
          <w:tcPr>
            <w:tcW w:w="3005" w:type="dxa"/>
            <w:hideMark/>
          </w:tcPr>
          <w:p w14:paraId="59631E68" w14:textId="77777777" w:rsidR="00E73F0C" w:rsidRDefault="00E73F0C">
            <w:pPr>
              <w:rPr>
                <w:rFonts w:eastAsia="Times New Roman"/>
                <w:color w:val="000000"/>
              </w:rPr>
            </w:pPr>
            <w:r>
              <w:rPr>
                <w:rFonts w:eastAsia="Times New Roman"/>
                <w:color w:val="000000"/>
              </w:rPr>
              <w:t>Report a concern about an adult or a child</w:t>
            </w:r>
          </w:p>
        </w:tc>
        <w:tc>
          <w:tcPr>
            <w:tcW w:w="3005" w:type="dxa"/>
            <w:hideMark/>
          </w:tcPr>
          <w:p w14:paraId="4A926235" w14:textId="77777777" w:rsidR="00E73F0C" w:rsidRDefault="00E73F0C">
            <w:pPr>
              <w:jc w:val="center"/>
              <w:rPr>
                <w:rFonts w:eastAsia="Times New Roman"/>
                <w:color w:val="000000"/>
              </w:rPr>
            </w:pPr>
            <w:r>
              <w:rPr>
                <w:rFonts w:eastAsia="Times New Roman"/>
                <w:color w:val="000000"/>
              </w:rPr>
              <w:t>6471</w:t>
            </w:r>
          </w:p>
        </w:tc>
        <w:tc>
          <w:tcPr>
            <w:tcW w:w="3006" w:type="dxa"/>
            <w:hideMark/>
          </w:tcPr>
          <w:p w14:paraId="6CCE70B4" w14:textId="77777777" w:rsidR="00E73F0C" w:rsidRDefault="00E73F0C">
            <w:pPr>
              <w:rPr>
                <w:rFonts w:eastAsia="Times New Roman"/>
                <w:color w:val="000000"/>
              </w:rPr>
            </w:pPr>
            <w:r>
              <w:rPr>
                <w:rFonts w:eastAsia="Times New Roman"/>
                <w:color w:val="000000"/>
              </w:rPr>
              <w:t>6th </w:t>
            </w:r>
          </w:p>
        </w:tc>
      </w:tr>
      <w:tr w:rsidR="00E73F0C" w14:paraId="5233FEEC" w14:textId="77777777" w:rsidTr="00E73F0C">
        <w:trPr>
          <w:trHeight w:val="390"/>
        </w:trPr>
        <w:tc>
          <w:tcPr>
            <w:tcW w:w="3005" w:type="dxa"/>
            <w:hideMark/>
          </w:tcPr>
          <w:p w14:paraId="4E0EC1D8" w14:textId="77777777" w:rsidR="00E73F0C" w:rsidRDefault="00E73F0C">
            <w:pPr>
              <w:rPr>
                <w:rFonts w:eastAsia="Times New Roman"/>
                <w:color w:val="000000"/>
              </w:rPr>
            </w:pPr>
            <w:r>
              <w:rPr>
                <w:rFonts w:eastAsia="Times New Roman"/>
                <w:color w:val="000000"/>
              </w:rPr>
              <w:t>Upcoming Training</w:t>
            </w:r>
          </w:p>
        </w:tc>
        <w:tc>
          <w:tcPr>
            <w:tcW w:w="3005" w:type="dxa"/>
            <w:hideMark/>
          </w:tcPr>
          <w:p w14:paraId="272F645F" w14:textId="77777777" w:rsidR="00E73F0C" w:rsidRDefault="00E73F0C">
            <w:pPr>
              <w:jc w:val="center"/>
              <w:rPr>
                <w:rFonts w:eastAsia="Times New Roman"/>
                <w:color w:val="000000"/>
              </w:rPr>
            </w:pPr>
            <w:r>
              <w:rPr>
                <w:rFonts w:eastAsia="Times New Roman"/>
                <w:color w:val="000000"/>
              </w:rPr>
              <w:t>6382</w:t>
            </w:r>
          </w:p>
        </w:tc>
        <w:tc>
          <w:tcPr>
            <w:tcW w:w="3006" w:type="dxa"/>
            <w:hideMark/>
          </w:tcPr>
          <w:p w14:paraId="602A4F60" w14:textId="77777777" w:rsidR="00E73F0C" w:rsidRDefault="00E73F0C">
            <w:pPr>
              <w:rPr>
                <w:rFonts w:eastAsia="Times New Roman"/>
                <w:color w:val="000000"/>
              </w:rPr>
            </w:pPr>
            <w:r>
              <w:rPr>
                <w:rFonts w:eastAsia="Times New Roman"/>
                <w:color w:val="000000"/>
              </w:rPr>
              <w:t>7th </w:t>
            </w:r>
          </w:p>
        </w:tc>
      </w:tr>
      <w:tr w:rsidR="00E73F0C" w14:paraId="5E186C01" w14:textId="77777777" w:rsidTr="00E73F0C">
        <w:trPr>
          <w:trHeight w:val="390"/>
        </w:trPr>
        <w:tc>
          <w:tcPr>
            <w:tcW w:w="3005" w:type="dxa"/>
            <w:hideMark/>
          </w:tcPr>
          <w:p w14:paraId="2FC796E7" w14:textId="77777777" w:rsidR="00E73F0C" w:rsidRDefault="00E73F0C">
            <w:pPr>
              <w:rPr>
                <w:rFonts w:eastAsia="Times New Roman"/>
                <w:color w:val="000000"/>
              </w:rPr>
            </w:pPr>
            <w:r>
              <w:rPr>
                <w:rFonts w:eastAsia="Times New Roman"/>
                <w:color w:val="000000"/>
              </w:rPr>
              <w:t>Pan Bedfordshire - What does this mean?</w:t>
            </w:r>
          </w:p>
        </w:tc>
        <w:tc>
          <w:tcPr>
            <w:tcW w:w="3005" w:type="dxa"/>
            <w:hideMark/>
          </w:tcPr>
          <w:p w14:paraId="16F4D65D" w14:textId="77777777" w:rsidR="00E73F0C" w:rsidRDefault="00E73F0C">
            <w:pPr>
              <w:jc w:val="center"/>
              <w:rPr>
                <w:rFonts w:eastAsia="Times New Roman"/>
                <w:color w:val="000000"/>
              </w:rPr>
            </w:pPr>
            <w:r>
              <w:rPr>
                <w:rFonts w:eastAsia="Times New Roman"/>
                <w:color w:val="000000"/>
              </w:rPr>
              <w:t>5845</w:t>
            </w:r>
          </w:p>
        </w:tc>
        <w:tc>
          <w:tcPr>
            <w:tcW w:w="3006" w:type="dxa"/>
            <w:hideMark/>
          </w:tcPr>
          <w:p w14:paraId="49D07B56" w14:textId="77777777" w:rsidR="00E73F0C" w:rsidRDefault="00E73F0C">
            <w:pPr>
              <w:rPr>
                <w:rFonts w:eastAsia="Times New Roman"/>
                <w:color w:val="000000"/>
              </w:rPr>
            </w:pPr>
            <w:r>
              <w:rPr>
                <w:rFonts w:eastAsia="Times New Roman"/>
                <w:color w:val="000000"/>
              </w:rPr>
              <w:t>8th </w:t>
            </w:r>
          </w:p>
        </w:tc>
      </w:tr>
      <w:tr w:rsidR="00E73F0C" w14:paraId="44402779" w14:textId="77777777" w:rsidTr="00E73F0C">
        <w:trPr>
          <w:trHeight w:val="390"/>
        </w:trPr>
        <w:tc>
          <w:tcPr>
            <w:tcW w:w="3005" w:type="dxa"/>
            <w:hideMark/>
          </w:tcPr>
          <w:p w14:paraId="69F4536E" w14:textId="77777777" w:rsidR="00E73F0C" w:rsidRDefault="00E73F0C">
            <w:pPr>
              <w:rPr>
                <w:rFonts w:eastAsia="Times New Roman"/>
                <w:color w:val="000000"/>
              </w:rPr>
            </w:pPr>
            <w:r>
              <w:rPr>
                <w:rFonts w:eastAsia="Times New Roman"/>
                <w:color w:val="000000"/>
              </w:rPr>
              <w:t>Welcome to Children &amp; Young People</w:t>
            </w:r>
          </w:p>
        </w:tc>
        <w:tc>
          <w:tcPr>
            <w:tcW w:w="3005" w:type="dxa"/>
            <w:hideMark/>
          </w:tcPr>
          <w:p w14:paraId="5D318078" w14:textId="77777777" w:rsidR="00E73F0C" w:rsidRDefault="00E73F0C">
            <w:pPr>
              <w:jc w:val="center"/>
              <w:rPr>
                <w:rFonts w:eastAsia="Times New Roman"/>
                <w:color w:val="000000"/>
              </w:rPr>
            </w:pPr>
            <w:r>
              <w:rPr>
                <w:rFonts w:eastAsia="Times New Roman"/>
                <w:color w:val="000000"/>
              </w:rPr>
              <w:t>4623</w:t>
            </w:r>
          </w:p>
        </w:tc>
        <w:tc>
          <w:tcPr>
            <w:tcW w:w="3006" w:type="dxa"/>
            <w:hideMark/>
          </w:tcPr>
          <w:p w14:paraId="4F1A6FCF" w14:textId="77777777" w:rsidR="00E73F0C" w:rsidRDefault="00E73F0C">
            <w:pPr>
              <w:rPr>
                <w:rFonts w:eastAsia="Times New Roman"/>
                <w:color w:val="000000"/>
              </w:rPr>
            </w:pPr>
            <w:r>
              <w:rPr>
                <w:rFonts w:eastAsia="Times New Roman"/>
                <w:color w:val="000000"/>
              </w:rPr>
              <w:t>9th </w:t>
            </w:r>
          </w:p>
        </w:tc>
      </w:tr>
      <w:tr w:rsidR="00E73F0C" w14:paraId="3C888FD6" w14:textId="77777777" w:rsidTr="00E73F0C">
        <w:trPr>
          <w:trHeight w:val="390"/>
        </w:trPr>
        <w:tc>
          <w:tcPr>
            <w:tcW w:w="3005" w:type="dxa"/>
            <w:hideMark/>
          </w:tcPr>
          <w:p w14:paraId="6C372D8A" w14:textId="77777777" w:rsidR="00E73F0C" w:rsidRDefault="00E73F0C">
            <w:pPr>
              <w:rPr>
                <w:rFonts w:eastAsia="Times New Roman"/>
                <w:color w:val="000000"/>
              </w:rPr>
            </w:pPr>
            <w:r>
              <w:rPr>
                <w:rFonts w:eastAsia="Times New Roman"/>
                <w:color w:val="000000"/>
              </w:rPr>
              <w:t>What is Abuse and Neglect?</w:t>
            </w:r>
          </w:p>
        </w:tc>
        <w:tc>
          <w:tcPr>
            <w:tcW w:w="3005" w:type="dxa"/>
            <w:hideMark/>
          </w:tcPr>
          <w:p w14:paraId="1BDAE625" w14:textId="77777777" w:rsidR="00E73F0C" w:rsidRDefault="00E73F0C">
            <w:pPr>
              <w:jc w:val="center"/>
              <w:rPr>
                <w:rFonts w:eastAsia="Times New Roman"/>
                <w:color w:val="000000"/>
              </w:rPr>
            </w:pPr>
            <w:r>
              <w:rPr>
                <w:rFonts w:eastAsia="Times New Roman"/>
                <w:color w:val="000000"/>
              </w:rPr>
              <w:t>4202</w:t>
            </w:r>
          </w:p>
        </w:tc>
        <w:tc>
          <w:tcPr>
            <w:tcW w:w="3006" w:type="dxa"/>
            <w:hideMark/>
          </w:tcPr>
          <w:p w14:paraId="37BBD935" w14:textId="77777777" w:rsidR="00E73F0C" w:rsidRDefault="00E73F0C">
            <w:pPr>
              <w:rPr>
                <w:rFonts w:eastAsia="Times New Roman"/>
                <w:color w:val="000000"/>
              </w:rPr>
            </w:pPr>
            <w:r>
              <w:rPr>
                <w:rFonts w:eastAsia="Times New Roman"/>
                <w:color w:val="000000"/>
              </w:rPr>
              <w:t>10th </w:t>
            </w:r>
          </w:p>
        </w:tc>
      </w:tr>
    </w:tbl>
    <w:p w14:paraId="4C71968A" w14:textId="77777777" w:rsidR="00304787" w:rsidRPr="00197C6A" w:rsidRDefault="00304787" w:rsidP="004D69A0">
      <w:pPr>
        <w:spacing w:after="0" w:line="240" w:lineRule="auto"/>
      </w:pPr>
    </w:p>
    <w:p w14:paraId="62B7B93C" w14:textId="303126E1" w:rsidR="006A73E9" w:rsidRPr="00B33496" w:rsidRDefault="00E73F0C" w:rsidP="006A73E9">
      <w:pPr>
        <w:spacing w:after="0" w:line="240" w:lineRule="auto"/>
      </w:pPr>
      <w:r w:rsidRPr="00B33496">
        <w:t xml:space="preserve">A snapshot of </w:t>
      </w:r>
      <w:r w:rsidR="001B3DD3" w:rsidRPr="00B33496">
        <w:t xml:space="preserve">288 </w:t>
      </w:r>
      <w:r w:rsidRPr="00B33496">
        <w:t>training evalu</w:t>
      </w:r>
      <w:r w:rsidR="006A73E9" w:rsidRPr="00B33496">
        <w:t xml:space="preserve">ations during quarter 4 </w:t>
      </w:r>
      <w:r w:rsidR="00AA78E4" w:rsidRPr="00B33496">
        <w:t>highlighted at least</w:t>
      </w:r>
      <w:r w:rsidR="006A73E9" w:rsidRPr="00B33496">
        <w:t xml:space="preserve"> 60</w:t>
      </w:r>
      <w:r w:rsidR="002B503A">
        <w:t xml:space="preserve"> </w:t>
      </w:r>
      <w:r w:rsidR="00AA78E4" w:rsidRPr="00B33496">
        <w:t xml:space="preserve">evaluations </w:t>
      </w:r>
      <w:r w:rsidR="006A73E9" w:rsidRPr="00B33496">
        <w:t xml:space="preserve">specifically referenced the website, and how useful it is. </w:t>
      </w:r>
      <w:r w:rsidR="00B33496" w:rsidRPr="00B33496">
        <w:t xml:space="preserve"> One evaluation commented</w:t>
      </w:r>
      <w:r w:rsidR="002B503A">
        <w:t>….</w:t>
      </w:r>
    </w:p>
    <w:p w14:paraId="004A43C4" w14:textId="77777777" w:rsidR="00B33496" w:rsidRPr="00B33496" w:rsidRDefault="00B33496" w:rsidP="006A73E9">
      <w:pPr>
        <w:spacing w:after="0" w:line="240" w:lineRule="auto"/>
      </w:pPr>
    </w:p>
    <w:p w14:paraId="606B7180" w14:textId="75A3BF0D" w:rsidR="006A73E9" w:rsidRPr="00B33496" w:rsidRDefault="00B33496" w:rsidP="006A73E9">
      <w:pPr>
        <w:spacing w:after="0" w:line="240" w:lineRule="auto"/>
      </w:pPr>
      <w:r w:rsidRPr="00B33496">
        <w:t>“</w:t>
      </w:r>
      <w:r w:rsidR="006A73E9" w:rsidRPr="00B33496">
        <w:t>The safeguarding Bedfordshire website - phenomenal amount of information and resources!! Easy to navigate and so clear!</w:t>
      </w:r>
      <w:r w:rsidRPr="00B33496">
        <w:t>”</w:t>
      </w:r>
    </w:p>
    <w:p w14:paraId="5A6AF223" w14:textId="14EE2CDF" w:rsidR="009F31EB" w:rsidRDefault="009F31EB" w:rsidP="004D69A0">
      <w:pPr>
        <w:spacing w:after="0" w:line="240" w:lineRule="auto"/>
        <w:rPr>
          <w:b/>
          <w:bCs/>
        </w:rPr>
      </w:pPr>
    </w:p>
    <w:p w14:paraId="083052D0" w14:textId="2F675E8F" w:rsidR="00A04A9E" w:rsidRDefault="00A04A9E" w:rsidP="004D69A0">
      <w:pPr>
        <w:spacing w:after="0" w:line="240" w:lineRule="auto"/>
        <w:rPr>
          <w:b/>
          <w:bCs/>
        </w:rPr>
      </w:pPr>
      <w:r>
        <w:rPr>
          <w:b/>
          <w:bCs/>
        </w:rPr>
        <w:t>Annual Reports:</w:t>
      </w:r>
    </w:p>
    <w:p w14:paraId="7C5DDB3B" w14:textId="7B0071FA" w:rsidR="001E6BA4" w:rsidRDefault="001E6BA4" w:rsidP="004D69A0">
      <w:pPr>
        <w:spacing w:after="0" w:line="240" w:lineRule="auto"/>
      </w:pPr>
      <w:r>
        <w:t xml:space="preserve">During 2024-25 The Central Bedfordshire Safeguarding Partnership received the following Annual Reports for </w:t>
      </w:r>
      <w:r w:rsidR="003A4ED1">
        <w:t>review and scrutiny:</w:t>
      </w:r>
    </w:p>
    <w:p w14:paraId="1743BD98" w14:textId="77777777" w:rsidR="005B64F3" w:rsidRDefault="005B64F3" w:rsidP="004D69A0">
      <w:pPr>
        <w:spacing w:after="0" w:line="240" w:lineRule="auto"/>
        <w:rPr>
          <w:highlight w:val="yellow"/>
        </w:rPr>
      </w:pPr>
    </w:p>
    <w:p w14:paraId="65AA8E93" w14:textId="38F9AB33" w:rsidR="003A4ED1" w:rsidRDefault="00033BA1" w:rsidP="00434E82">
      <w:pPr>
        <w:pStyle w:val="ListParagraph"/>
        <w:numPr>
          <w:ilvl w:val="0"/>
          <w:numId w:val="32"/>
        </w:numPr>
        <w:spacing w:after="0" w:line="240" w:lineRule="auto"/>
      </w:pPr>
      <w:r>
        <w:t xml:space="preserve">School Attendance </w:t>
      </w:r>
    </w:p>
    <w:p w14:paraId="216FC659" w14:textId="0658C2F7" w:rsidR="00033BA1" w:rsidRDefault="00033BA1" w:rsidP="00434E82">
      <w:pPr>
        <w:pStyle w:val="ListParagraph"/>
        <w:numPr>
          <w:ilvl w:val="0"/>
          <w:numId w:val="32"/>
        </w:numPr>
        <w:spacing w:after="0" w:line="240" w:lineRule="auto"/>
      </w:pPr>
      <w:r>
        <w:t xml:space="preserve">Children Missing from Education </w:t>
      </w:r>
    </w:p>
    <w:p w14:paraId="1F8600ED" w14:textId="44DE56BB" w:rsidR="00033BA1" w:rsidRDefault="00033BA1" w:rsidP="00434E82">
      <w:pPr>
        <w:pStyle w:val="ListParagraph"/>
        <w:numPr>
          <w:ilvl w:val="0"/>
          <w:numId w:val="32"/>
        </w:numPr>
        <w:spacing w:after="0" w:line="240" w:lineRule="auto"/>
      </w:pPr>
      <w:r>
        <w:t>Electively Home Educated Children</w:t>
      </w:r>
    </w:p>
    <w:p w14:paraId="200CC415" w14:textId="461AD1C9" w:rsidR="000F1492" w:rsidRDefault="000F1492" w:rsidP="00434E82">
      <w:pPr>
        <w:pStyle w:val="ListParagraph"/>
        <w:numPr>
          <w:ilvl w:val="0"/>
          <w:numId w:val="32"/>
        </w:numPr>
        <w:spacing w:after="0" w:line="240" w:lineRule="auto"/>
      </w:pPr>
      <w:r>
        <w:t xml:space="preserve">Looked After Children </w:t>
      </w:r>
    </w:p>
    <w:p w14:paraId="21E66FBC" w14:textId="267C4A03" w:rsidR="000F1492" w:rsidRDefault="000F1492" w:rsidP="00434E82">
      <w:pPr>
        <w:pStyle w:val="ListParagraph"/>
        <w:numPr>
          <w:ilvl w:val="0"/>
          <w:numId w:val="32"/>
        </w:numPr>
        <w:spacing w:after="0" w:line="240" w:lineRule="auto"/>
      </w:pPr>
      <w:r>
        <w:t>Domestic Abuse</w:t>
      </w:r>
    </w:p>
    <w:p w14:paraId="16630AB5" w14:textId="37F9DBCD" w:rsidR="000F1492" w:rsidRDefault="000F1492" w:rsidP="00434E82">
      <w:pPr>
        <w:pStyle w:val="ListParagraph"/>
        <w:numPr>
          <w:ilvl w:val="0"/>
          <w:numId w:val="32"/>
        </w:numPr>
        <w:spacing w:after="0" w:line="240" w:lineRule="auto"/>
      </w:pPr>
      <w:r>
        <w:t xml:space="preserve">Private Fostering </w:t>
      </w:r>
    </w:p>
    <w:p w14:paraId="3E0227EE" w14:textId="6364DE12" w:rsidR="000F1492" w:rsidRDefault="000F1492" w:rsidP="00434E82">
      <w:pPr>
        <w:pStyle w:val="ListParagraph"/>
        <w:numPr>
          <w:ilvl w:val="0"/>
          <w:numId w:val="32"/>
        </w:numPr>
        <w:spacing w:after="0" w:line="240" w:lineRule="auto"/>
      </w:pPr>
      <w:r>
        <w:t xml:space="preserve">Exploitation </w:t>
      </w:r>
    </w:p>
    <w:p w14:paraId="42F7B743" w14:textId="765B3376" w:rsidR="005A7E3F" w:rsidRDefault="005A7E3F" w:rsidP="00434E82">
      <w:pPr>
        <w:pStyle w:val="ListParagraph"/>
        <w:numPr>
          <w:ilvl w:val="0"/>
          <w:numId w:val="32"/>
        </w:numPr>
        <w:spacing w:after="0" w:line="240" w:lineRule="auto"/>
      </w:pPr>
      <w:r>
        <w:t xml:space="preserve">Complex Care </w:t>
      </w:r>
    </w:p>
    <w:p w14:paraId="53E9B16B" w14:textId="1FA0A753" w:rsidR="005A7E3F" w:rsidRDefault="005A7E3F" w:rsidP="00434E82">
      <w:pPr>
        <w:pStyle w:val="ListParagraph"/>
        <w:numPr>
          <w:ilvl w:val="0"/>
          <w:numId w:val="32"/>
        </w:numPr>
        <w:spacing w:after="0" w:line="240" w:lineRule="auto"/>
      </w:pPr>
      <w:r>
        <w:lastRenderedPageBreak/>
        <w:t xml:space="preserve">Prevent </w:t>
      </w:r>
    </w:p>
    <w:p w14:paraId="4320127F" w14:textId="77777777" w:rsidR="00A04A9E" w:rsidRDefault="00A04A9E" w:rsidP="004D69A0">
      <w:pPr>
        <w:spacing w:after="0" w:line="240" w:lineRule="auto"/>
        <w:rPr>
          <w:b/>
          <w:bCs/>
        </w:rPr>
      </w:pPr>
    </w:p>
    <w:p w14:paraId="2CC0F59C" w14:textId="1806BEF2" w:rsidR="00A04A9E" w:rsidRDefault="002003B3" w:rsidP="004D69A0">
      <w:pPr>
        <w:spacing w:after="0" w:line="240" w:lineRule="auto"/>
        <w:rPr>
          <w:b/>
          <w:bCs/>
        </w:rPr>
      </w:pPr>
      <w:r>
        <w:rPr>
          <w:b/>
          <w:bCs/>
        </w:rPr>
        <w:t>Child Safeguarding Practice Reviews</w:t>
      </w:r>
      <w:r w:rsidR="00A04A9E">
        <w:rPr>
          <w:b/>
          <w:bCs/>
        </w:rPr>
        <w:t>:</w:t>
      </w:r>
    </w:p>
    <w:p w14:paraId="5F277918" w14:textId="04AD6744" w:rsidR="00FB4E79" w:rsidRDefault="00FB4E79" w:rsidP="004D69A0">
      <w:pPr>
        <w:spacing w:after="0" w:line="240" w:lineRule="auto"/>
      </w:pPr>
      <w:r w:rsidRPr="00854946">
        <w:t xml:space="preserve">During 2024-25 the Partnership completed </w:t>
      </w:r>
      <w:r w:rsidR="00B920FE" w:rsidRPr="00854946">
        <w:t xml:space="preserve">two Child Safeguarding Practice </w:t>
      </w:r>
      <w:r w:rsidR="00854946" w:rsidRPr="00854946">
        <w:t>R</w:t>
      </w:r>
      <w:r w:rsidR="00B920FE" w:rsidRPr="00854946">
        <w:t xml:space="preserve">eviews </w:t>
      </w:r>
      <w:r w:rsidR="00854946" w:rsidRPr="00854946">
        <w:t xml:space="preserve">(CSPR’s) </w:t>
      </w:r>
      <w:r w:rsidR="00B920FE" w:rsidRPr="00854946">
        <w:t xml:space="preserve">that had been initiated the previous year </w:t>
      </w:r>
      <w:r w:rsidR="00854946" w:rsidRPr="00854946">
        <w:t>and also carried out two further Rapid Reviews.</w:t>
      </w:r>
    </w:p>
    <w:p w14:paraId="62480B10" w14:textId="77777777" w:rsidR="00854946" w:rsidRDefault="00854946" w:rsidP="004D69A0">
      <w:pPr>
        <w:spacing w:after="0" w:line="240" w:lineRule="auto"/>
        <w:rPr>
          <w:b/>
          <w:bCs/>
        </w:rPr>
      </w:pPr>
    </w:p>
    <w:p w14:paraId="57ACFC0D" w14:textId="77777777" w:rsidR="005A312D" w:rsidRDefault="005A312D" w:rsidP="004D69A0">
      <w:pPr>
        <w:spacing w:after="0" w:line="240" w:lineRule="auto"/>
        <w:rPr>
          <w:b/>
          <w:bCs/>
        </w:rPr>
        <w:sectPr w:rsidR="005A312D">
          <w:footerReference w:type="default" r:id="rId24"/>
          <w:pgSz w:w="11906" w:h="16838"/>
          <w:pgMar w:top="1440" w:right="1440" w:bottom="1440" w:left="1440" w:header="708" w:footer="708" w:gutter="0"/>
          <w:cols w:space="708"/>
          <w:docGrid w:linePitch="360"/>
        </w:sectPr>
      </w:pPr>
    </w:p>
    <w:p w14:paraId="3F41D59A" w14:textId="7BEECD63" w:rsidR="003A3EB2" w:rsidRDefault="00854946" w:rsidP="004D69A0">
      <w:pPr>
        <w:spacing w:after="0" w:line="240" w:lineRule="auto"/>
        <w:rPr>
          <w:b/>
          <w:bCs/>
        </w:rPr>
      </w:pPr>
      <w:r>
        <w:rPr>
          <w:b/>
          <w:bCs/>
        </w:rPr>
        <w:lastRenderedPageBreak/>
        <w:t xml:space="preserve">Case 1 – </w:t>
      </w:r>
      <w:r w:rsidR="003A3EB2">
        <w:rPr>
          <w:b/>
          <w:bCs/>
        </w:rPr>
        <w:t xml:space="preserve">Isabella </w:t>
      </w:r>
    </w:p>
    <w:p w14:paraId="482F0CE1" w14:textId="796B64EC" w:rsidR="00FA01E8" w:rsidRDefault="00FA01E8" w:rsidP="004D69A0">
      <w:pPr>
        <w:spacing w:after="0" w:line="240" w:lineRule="auto"/>
        <w:rPr>
          <w:rFonts w:eastAsia="Calibri" w:cstheme="minorHAnsi"/>
        </w:rPr>
      </w:pPr>
      <w:r w:rsidRPr="00E05A9F">
        <w:rPr>
          <w:rFonts w:eastAsia="Calibri" w:cstheme="minorHAnsi"/>
        </w:rPr>
        <w:t>On the 30</w:t>
      </w:r>
      <w:r w:rsidRPr="00E05A9F">
        <w:rPr>
          <w:rFonts w:eastAsia="Calibri" w:cstheme="minorHAnsi"/>
          <w:vertAlign w:val="superscript"/>
        </w:rPr>
        <w:t>th</w:t>
      </w:r>
      <w:r w:rsidRPr="00E05A9F">
        <w:rPr>
          <w:rFonts w:eastAsia="Calibri" w:cstheme="minorHAnsi"/>
        </w:rPr>
        <w:t xml:space="preserve"> of June 2023, Bedfordshire Police contacted Suffolk Constabulary sharing a call that they had received from a friend of Isabella’s mother. The friend had ‘grave concerns’ for Isabella (2 years and 9 months old) following a communication that the friend had received from the mother. Suffolk Constabulary attended a hostel in Ipswich, Suffolk, where the family were staying and discovered Isabella deceased, she was found in her buggy. It is assumed by the findings of the criminal investigation that Isabella had been dead for around three days and had suffered a number of significant non-accidental injuries.</w:t>
      </w:r>
      <w:r w:rsidR="006E43A4">
        <w:rPr>
          <w:rFonts w:eastAsia="Calibri" w:cstheme="minorHAnsi"/>
        </w:rPr>
        <w:t xml:space="preserve"> Isabella </w:t>
      </w:r>
      <w:r w:rsidR="000C46FC">
        <w:rPr>
          <w:rFonts w:eastAsia="Calibri" w:cstheme="minorHAnsi"/>
        </w:rPr>
        <w:t xml:space="preserve">originally lived in Central </w:t>
      </w:r>
      <w:r w:rsidR="009A4F20">
        <w:rPr>
          <w:rFonts w:eastAsia="Calibri" w:cstheme="minorHAnsi"/>
        </w:rPr>
        <w:t>Bedfordshire</w:t>
      </w:r>
      <w:r w:rsidR="000C46FC">
        <w:rPr>
          <w:rFonts w:eastAsia="Calibri" w:cstheme="minorHAnsi"/>
        </w:rPr>
        <w:t xml:space="preserve"> before travelling </w:t>
      </w:r>
      <w:r w:rsidR="009A4F20">
        <w:rPr>
          <w:rFonts w:eastAsia="Calibri" w:cstheme="minorHAnsi"/>
        </w:rPr>
        <w:t xml:space="preserve">to Norfolk and then Suffolk </w:t>
      </w:r>
      <w:r w:rsidR="00F3414F">
        <w:rPr>
          <w:rFonts w:eastAsia="Calibri" w:cstheme="minorHAnsi"/>
        </w:rPr>
        <w:t>at the beginning of June.</w:t>
      </w:r>
    </w:p>
    <w:p w14:paraId="5DA80312" w14:textId="77777777" w:rsidR="006213EC" w:rsidRDefault="006213EC" w:rsidP="004D69A0">
      <w:pPr>
        <w:spacing w:after="0" w:line="240" w:lineRule="auto"/>
        <w:rPr>
          <w:rFonts w:eastAsia="Calibri" w:cstheme="minorHAnsi"/>
        </w:rPr>
      </w:pPr>
    </w:p>
    <w:p w14:paraId="13A6D87E" w14:textId="52596676" w:rsidR="006213EC" w:rsidRDefault="006213EC" w:rsidP="004D69A0">
      <w:pPr>
        <w:spacing w:after="0" w:line="240" w:lineRule="auto"/>
        <w:rPr>
          <w:b/>
          <w:bCs/>
        </w:rPr>
      </w:pPr>
      <w:r>
        <w:rPr>
          <w:rFonts w:eastAsia="Calibri" w:cstheme="minorHAnsi"/>
        </w:rPr>
        <w:t xml:space="preserve">The table below provides </w:t>
      </w:r>
      <w:r w:rsidR="00101AC2">
        <w:rPr>
          <w:rFonts w:eastAsia="Calibri" w:cstheme="minorHAnsi"/>
        </w:rPr>
        <w:t xml:space="preserve">information </w:t>
      </w:r>
      <w:r w:rsidR="00260709">
        <w:rPr>
          <w:rFonts w:eastAsia="Calibri" w:cstheme="minorHAnsi"/>
        </w:rPr>
        <w:t>regarding the recommendations and the Partnership’s response.</w:t>
      </w:r>
    </w:p>
    <w:p w14:paraId="558C693C" w14:textId="77777777" w:rsidR="00DB3771" w:rsidRDefault="00DB3771" w:rsidP="004D69A0">
      <w:pPr>
        <w:spacing w:after="0" w:line="240" w:lineRule="auto"/>
        <w:rPr>
          <w:b/>
          <w:bCs/>
        </w:rPr>
      </w:pPr>
    </w:p>
    <w:tbl>
      <w:tblPr>
        <w:tblStyle w:val="TableGrid"/>
        <w:tblW w:w="0" w:type="auto"/>
        <w:tblLayout w:type="fixed"/>
        <w:tblLook w:val="04A0" w:firstRow="1" w:lastRow="0" w:firstColumn="1" w:lastColumn="0" w:noHBand="0" w:noVBand="1"/>
      </w:tblPr>
      <w:tblGrid>
        <w:gridCol w:w="3964"/>
        <w:gridCol w:w="3544"/>
        <w:gridCol w:w="6237"/>
      </w:tblGrid>
      <w:tr w:rsidR="0052594B" w:rsidRPr="003E5FC3" w14:paraId="5718A4B0" w14:textId="77777777" w:rsidTr="005A312D">
        <w:tc>
          <w:tcPr>
            <w:tcW w:w="3964" w:type="dxa"/>
          </w:tcPr>
          <w:p w14:paraId="67E66640" w14:textId="77777777" w:rsidR="0052594B" w:rsidRPr="003E5FC3" w:rsidRDefault="0052594B" w:rsidP="00323CD5">
            <w:pPr>
              <w:rPr>
                <w:b/>
                <w:bCs/>
              </w:rPr>
            </w:pPr>
            <w:r w:rsidRPr="003E5FC3">
              <w:rPr>
                <w:b/>
                <w:bCs/>
              </w:rPr>
              <w:t>Recommendation</w:t>
            </w:r>
          </w:p>
        </w:tc>
        <w:tc>
          <w:tcPr>
            <w:tcW w:w="3544" w:type="dxa"/>
          </w:tcPr>
          <w:p w14:paraId="0CED877C" w14:textId="77777777" w:rsidR="0052594B" w:rsidRPr="003E5FC3" w:rsidRDefault="0052594B" w:rsidP="00323CD5">
            <w:pPr>
              <w:rPr>
                <w:b/>
                <w:bCs/>
              </w:rPr>
            </w:pPr>
            <w:r w:rsidRPr="003E5FC3">
              <w:rPr>
                <w:b/>
                <w:bCs/>
              </w:rPr>
              <w:t xml:space="preserve">Action </w:t>
            </w:r>
          </w:p>
        </w:tc>
        <w:tc>
          <w:tcPr>
            <w:tcW w:w="6237" w:type="dxa"/>
          </w:tcPr>
          <w:p w14:paraId="0F73588C" w14:textId="77777777" w:rsidR="0052594B" w:rsidRPr="003E5FC3" w:rsidRDefault="0052594B" w:rsidP="00323CD5">
            <w:pPr>
              <w:rPr>
                <w:b/>
                <w:bCs/>
              </w:rPr>
            </w:pPr>
            <w:r w:rsidRPr="003E5FC3">
              <w:rPr>
                <w:b/>
                <w:bCs/>
              </w:rPr>
              <w:t xml:space="preserve">Progress </w:t>
            </w:r>
          </w:p>
        </w:tc>
      </w:tr>
      <w:tr w:rsidR="0052594B" w:rsidRPr="003E5FC3" w14:paraId="44FF5AAE" w14:textId="77777777" w:rsidTr="005A312D">
        <w:tc>
          <w:tcPr>
            <w:tcW w:w="3964" w:type="dxa"/>
          </w:tcPr>
          <w:p w14:paraId="6772C5C2" w14:textId="77777777" w:rsidR="0052594B" w:rsidRPr="003E5FC3" w:rsidRDefault="0052594B" w:rsidP="00323CD5">
            <w:pPr>
              <w:rPr>
                <w:rFonts w:eastAsia="Calibri" w:cstheme="minorHAnsi"/>
              </w:rPr>
            </w:pPr>
            <w:r w:rsidRPr="003E5FC3">
              <w:rPr>
                <w:rFonts w:eastAsia="Calibri" w:cstheme="minorHAnsi"/>
              </w:rPr>
              <w:t>The Central Bedfordshire Safeguarding Children Partnership (CBSCP) should share this review report with the Norfolk and Suffolk Safeguarding Children Partnerships for them to consider if there is any learning that they would wish to consider actioning within their area.</w:t>
            </w:r>
          </w:p>
          <w:p w14:paraId="39198ACE" w14:textId="77777777" w:rsidR="0052594B" w:rsidRPr="003E5FC3" w:rsidRDefault="0052594B" w:rsidP="00323CD5">
            <w:pPr>
              <w:rPr>
                <w:b/>
                <w:bCs/>
              </w:rPr>
            </w:pPr>
          </w:p>
        </w:tc>
        <w:tc>
          <w:tcPr>
            <w:tcW w:w="3544" w:type="dxa"/>
          </w:tcPr>
          <w:p w14:paraId="23EEC6D2" w14:textId="77777777" w:rsidR="0052594B" w:rsidRPr="003E5FC3" w:rsidRDefault="0052594B" w:rsidP="00323CD5">
            <w:pPr>
              <w:rPr>
                <w:b/>
                <w:bCs/>
              </w:rPr>
            </w:pPr>
            <w:r w:rsidRPr="003E5FC3">
              <w:t>To share the report with the Norfolk and Suffolk Safeguarding Partnerships</w:t>
            </w:r>
          </w:p>
        </w:tc>
        <w:tc>
          <w:tcPr>
            <w:tcW w:w="6237" w:type="dxa"/>
          </w:tcPr>
          <w:p w14:paraId="1A4E32CB" w14:textId="77777777" w:rsidR="0052594B" w:rsidRPr="003E5FC3" w:rsidRDefault="0052594B" w:rsidP="00323CD5">
            <w:r w:rsidRPr="003E5FC3">
              <w:t xml:space="preserve">The report has been shared </w:t>
            </w:r>
          </w:p>
        </w:tc>
      </w:tr>
      <w:tr w:rsidR="0052594B" w:rsidRPr="003E5FC3" w14:paraId="68D3B82C" w14:textId="77777777" w:rsidTr="005A312D">
        <w:tc>
          <w:tcPr>
            <w:tcW w:w="3964" w:type="dxa"/>
          </w:tcPr>
          <w:p w14:paraId="1346A340" w14:textId="77777777" w:rsidR="0052594B" w:rsidRPr="003E5FC3" w:rsidRDefault="0052594B" w:rsidP="00323CD5">
            <w:pPr>
              <w:rPr>
                <w:b/>
                <w:bCs/>
              </w:rPr>
            </w:pPr>
            <w:r w:rsidRPr="003E5FC3">
              <w:rPr>
                <w:rFonts w:eastAsia="Calibri" w:cstheme="minorHAnsi"/>
              </w:rPr>
              <w:t xml:space="preserve">The CBSCP should seek assurance from all agencies that they </w:t>
            </w:r>
            <w:bookmarkStart w:id="5" w:name="_Hlk120093366"/>
            <w:r w:rsidRPr="003E5FC3">
              <w:rPr>
                <w:rFonts w:eastAsia="Calibri" w:cstheme="minorHAnsi"/>
              </w:rPr>
              <w:t>always include the voice and lived experience of a child in their actions and assessments. This includes children who are toddlers, who are unable to fully communicate verbally</w:t>
            </w:r>
            <w:bookmarkEnd w:id="5"/>
            <w:r w:rsidRPr="003E5FC3">
              <w:rPr>
                <w:rFonts w:eastAsia="Calibri" w:cstheme="minorHAnsi"/>
              </w:rPr>
              <w:t>.</w:t>
            </w:r>
          </w:p>
        </w:tc>
        <w:tc>
          <w:tcPr>
            <w:tcW w:w="3544" w:type="dxa"/>
          </w:tcPr>
          <w:p w14:paraId="17F18028" w14:textId="77777777" w:rsidR="0052594B" w:rsidRPr="003E5FC3" w:rsidRDefault="0052594B" w:rsidP="00323CD5">
            <w:pPr>
              <w:rPr>
                <w:b/>
                <w:bCs/>
              </w:rPr>
            </w:pPr>
            <w:r w:rsidRPr="003E5FC3">
              <w:t>Request to be sent to all Central Bedfordshire Safeguarding Children Partnership Partners for their Assurances.</w:t>
            </w:r>
          </w:p>
        </w:tc>
        <w:tc>
          <w:tcPr>
            <w:tcW w:w="6237" w:type="dxa"/>
          </w:tcPr>
          <w:p w14:paraId="26CE30F6" w14:textId="77777777" w:rsidR="0052594B" w:rsidRPr="003E5FC3" w:rsidRDefault="0052594B" w:rsidP="00323CD5">
            <w:r w:rsidRPr="003E5FC3">
              <w:t>Voice of the child assurance audits/reports completed and presented back to the partnership. Reports completed by:</w:t>
            </w:r>
          </w:p>
          <w:p w14:paraId="4F390A35" w14:textId="77777777" w:rsidR="0052594B" w:rsidRPr="003E5FC3" w:rsidRDefault="0052594B" w:rsidP="00434E82">
            <w:pPr>
              <w:pStyle w:val="ListParagraph"/>
              <w:numPr>
                <w:ilvl w:val="0"/>
                <w:numId w:val="10"/>
              </w:numPr>
            </w:pPr>
            <w:r w:rsidRPr="003E5FC3">
              <w:t>Central Bedfordshire Council Children’s Services</w:t>
            </w:r>
          </w:p>
          <w:p w14:paraId="5A497FF9" w14:textId="77777777" w:rsidR="0052594B" w:rsidRPr="003E5FC3" w:rsidRDefault="0052594B" w:rsidP="00434E82">
            <w:pPr>
              <w:pStyle w:val="ListParagraph"/>
              <w:numPr>
                <w:ilvl w:val="0"/>
                <w:numId w:val="10"/>
              </w:numPr>
            </w:pPr>
            <w:r w:rsidRPr="003E5FC3">
              <w:t xml:space="preserve">East London Foundation Trust </w:t>
            </w:r>
          </w:p>
          <w:p w14:paraId="50BF62CD" w14:textId="77777777" w:rsidR="0052594B" w:rsidRPr="003E5FC3" w:rsidRDefault="0052594B" w:rsidP="00434E82">
            <w:pPr>
              <w:pStyle w:val="ListParagraph"/>
              <w:numPr>
                <w:ilvl w:val="0"/>
                <w:numId w:val="10"/>
              </w:numPr>
            </w:pPr>
            <w:r w:rsidRPr="003E5FC3">
              <w:t>Cambridgeshire Community Services</w:t>
            </w:r>
          </w:p>
          <w:p w14:paraId="593E292A" w14:textId="77777777" w:rsidR="0052594B" w:rsidRPr="003E5FC3" w:rsidRDefault="0052594B" w:rsidP="00434E82">
            <w:pPr>
              <w:pStyle w:val="ListParagraph"/>
              <w:numPr>
                <w:ilvl w:val="0"/>
                <w:numId w:val="10"/>
              </w:numPr>
            </w:pPr>
            <w:r w:rsidRPr="003E5FC3">
              <w:t>Bedfordshire Police</w:t>
            </w:r>
          </w:p>
          <w:p w14:paraId="40BE102B" w14:textId="77777777" w:rsidR="0052594B" w:rsidRPr="003E5FC3" w:rsidRDefault="0052594B" w:rsidP="00434E82">
            <w:pPr>
              <w:pStyle w:val="ListParagraph"/>
              <w:numPr>
                <w:ilvl w:val="0"/>
                <w:numId w:val="10"/>
              </w:numPr>
            </w:pPr>
            <w:r w:rsidRPr="003E5FC3">
              <w:t>Bedfordshire Hospitals</w:t>
            </w:r>
          </w:p>
          <w:p w14:paraId="567F0847" w14:textId="77777777" w:rsidR="0052594B" w:rsidRPr="003E5FC3" w:rsidRDefault="0052594B" w:rsidP="00323CD5"/>
          <w:p w14:paraId="626D70A5" w14:textId="77777777" w:rsidR="0052594B" w:rsidRPr="003E5FC3" w:rsidRDefault="0052594B" w:rsidP="00323CD5">
            <w:r w:rsidRPr="003E5FC3">
              <w:lastRenderedPageBreak/>
              <w:t>Hearing the voice of the child multi-agency training available through Safeguarding Bedfordshire Training service.</w:t>
            </w:r>
          </w:p>
          <w:p w14:paraId="1B875684" w14:textId="77777777" w:rsidR="0052594B" w:rsidRPr="003E5FC3" w:rsidRDefault="0052594B" w:rsidP="00323CD5"/>
          <w:p w14:paraId="320EC0FF" w14:textId="77777777" w:rsidR="0052594B" w:rsidRPr="003E5FC3" w:rsidRDefault="0052594B" w:rsidP="00323CD5">
            <w:r w:rsidRPr="003E5FC3">
              <w:t>Use of the day in the Life Tools promoted to all agencies.</w:t>
            </w:r>
          </w:p>
          <w:p w14:paraId="7B0ED591" w14:textId="77777777" w:rsidR="0052594B" w:rsidRPr="003E5FC3" w:rsidRDefault="0052594B" w:rsidP="00323CD5"/>
          <w:p w14:paraId="03242134" w14:textId="77777777" w:rsidR="0052594B" w:rsidRPr="003E5FC3" w:rsidRDefault="0052594B" w:rsidP="00323CD5">
            <w:r w:rsidRPr="003E5FC3">
              <w:t>Additional action by Bedfordshire Hospitals:</w:t>
            </w:r>
          </w:p>
          <w:p w14:paraId="1C1A6F61" w14:textId="77777777" w:rsidR="0052594B" w:rsidRPr="003E5FC3" w:rsidRDefault="0052594B" w:rsidP="00323CD5">
            <w:r w:rsidRPr="003E5FC3">
              <w:t>Paediatricians made aware of the Day in the life too and provided with training, to ensure that children are spoken to alone when presenting to the Trust, and their voice is heard and documented accurately.</w:t>
            </w:r>
          </w:p>
          <w:p w14:paraId="3D2FAB84" w14:textId="77777777" w:rsidR="0052594B" w:rsidRPr="003E5FC3" w:rsidRDefault="0052594B" w:rsidP="00323CD5"/>
        </w:tc>
      </w:tr>
      <w:tr w:rsidR="0052594B" w:rsidRPr="003E5FC3" w14:paraId="13B47F2D" w14:textId="77777777" w:rsidTr="005A312D">
        <w:tc>
          <w:tcPr>
            <w:tcW w:w="3964" w:type="dxa"/>
          </w:tcPr>
          <w:p w14:paraId="1D4D6C4B" w14:textId="77777777" w:rsidR="0052594B" w:rsidRPr="003E5FC3" w:rsidRDefault="0052594B" w:rsidP="00323CD5">
            <w:pPr>
              <w:rPr>
                <w:rFonts w:eastAsia="Calibri" w:cstheme="minorHAnsi"/>
              </w:rPr>
            </w:pPr>
            <w:r w:rsidRPr="003E5FC3">
              <w:rPr>
                <w:rFonts w:eastAsia="Calibri" w:cstheme="minorHAnsi"/>
              </w:rPr>
              <w:lastRenderedPageBreak/>
              <w:t>The CBSCP should ensure that all agencies are reminded of the need to ensure that assessments and interactions with families consider the role, presence and the history of male/female partners living in or associating closely within a household. This could be widened to include all carers to children.</w:t>
            </w:r>
          </w:p>
          <w:p w14:paraId="3E4039D6" w14:textId="77777777" w:rsidR="0052594B" w:rsidRPr="003E5FC3" w:rsidRDefault="0052594B" w:rsidP="00323CD5">
            <w:pPr>
              <w:rPr>
                <w:b/>
                <w:bCs/>
              </w:rPr>
            </w:pPr>
          </w:p>
        </w:tc>
        <w:tc>
          <w:tcPr>
            <w:tcW w:w="3544" w:type="dxa"/>
          </w:tcPr>
          <w:p w14:paraId="40F7903F" w14:textId="77777777" w:rsidR="0052594B" w:rsidRPr="003E5FC3" w:rsidRDefault="0052594B" w:rsidP="00323CD5">
            <w:r w:rsidRPr="003E5FC3">
              <w:t>All Agencies to confirm that this learning has been disseminated within their agencies – confirm when and how this was done.</w:t>
            </w:r>
          </w:p>
        </w:tc>
        <w:tc>
          <w:tcPr>
            <w:tcW w:w="6237" w:type="dxa"/>
          </w:tcPr>
          <w:p w14:paraId="7465A1FE" w14:textId="77777777" w:rsidR="0052594B" w:rsidRPr="003E5FC3" w:rsidRDefault="0052594B" w:rsidP="00323CD5">
            <w:r w:rsidRPr="003E5FC3">
              <w:t>Central Bedfordshire Council, Children’s Services:</w:t>
            </w:r>
          </w:p>
          <w:p w14:paraId="7A0476B2" w14:textId="77777777" w:rsidR="0052594B" w:rsidRPr="003E5FC3" w:rsidRDefault="0052594B" w:rsidP="00323CD5">
            <w:r w:rsidRPr="003E5FC3">
              <w:t xml:space="preserve">Weekly dip-sampling, thematic audits and monthly full case audits have taken place and are showing an improvement in resident and non-resident adults and network information being included within assessments. Promotion of cultural genograms also took place – this work is now Business </w:t>
            </w:r>
            <w:r>
              <w:t>as</w:t>
            </w:r>
            <w:r w:rsidRPr="003E5FC3">
              <w:t xml:space="preserve"> </w:t>
            </w:r>
            <w:r>
              <w:t>U</w:t>
            </w:r>
            <w:r w:rsidRPr="003E5FC3">
              <w:t>sual</w:t>
            </w:r>
            <w:r>
              <w:t xml:space="preserve"> (BAU)</w:t>
            </w:r>
            <w:r w:rsidRPr="003E5FC3">
              <w:t xml:space="preserve">. </w:t>
            </w:r>
          </w:p>
          <w:p w14:paraId="184A7A63" w14:textId="77777777" w:rsidR="0052594B" w:rsidRPr="003E5FC3" w:rsidRDefault="0052594B" w:rsidP="00323CD5">
            <w:r>
              <w:t>Regular programme of l</w:t>
            </w:r>
            <w:r w:rsidRPr="003E5FC3">
              <w:t>earning workshops ha</w:t>
            </w:r>
            <w:r>
              <w:t>ve</w:t>
            </w:r>
            <w:r w:rsidRPr="003E5FC3">
              <w:t xml:space="preserve"> also taken place.</w:t>
            </w:r>
          </w:p>
          <w:p w14:paraId="7C45D4D8" w14:textId="77777777" w:rsidR="0052594B" w:rsidRPr="003E5FC3" w:rsidRDefault="0052594B" w:rsidP="00323CD5"/>
          <w:p w14:paraId="1E035B1B" w14:textId="77777777" w:rsidR="0052594B" w:rsidRPr="003E5FC3" w:rsidRDefault="0052594B" w:rsidP="00323CD5">
            <w:r w:rsidRPr="003E5FC3">
              <w:t>East London Foundation Trust:</w:t>
            </w:r>
          </w:p>
          <w:p w14:paraId="01CADF5F" w14:textId="77777777" w:rsidR="0052594B" w:rsidRPr="003E5FC3" w:rsidRDefault="0052594B" w:rsidP="00323CD5">
            <w:r w:rsidRPr="003E5FC3">
              <w:t xml:space="preserve">Audits have been completed on Children and adult records, with a focus on the Think Family Approach to care and the Voice of the Child. Practitioners have been asked to ensure that all family members are recorded on a child's record and to be professionally curious around new partners as well as ensuring that the partner details are also recorded where possible. </w:t>
            </w:r>
          </w:p>
          <w:p w14:paraId="5EE7FAB4" w14:textId="77777777" w:rsidR="0052594B" w:rsidRPr="003E5FC3" w:rsidRDefault="0052594B" w:rsidP="00323CD5">
            <w:r w:rsidRPr="003E5FC3">
              <w:lastRenderedPageBreak/>
              <w:t>In ELFT’s level three training they emphasise the need for good record keeping and practitioners are advised to record all interactions with patients and professionals.</w:t>
            </w:r>
          </w:p>
          <w:p w14:paraId="0489B845" w14:textId="77777777" w:rsidR="0052594B" w:rsidRPr="003E5FC3" w:rsidRDefault="0052594B" w:rsidP="00323CD5"/>
          <w:p w14:paraId="068FA4EC" w14:textId="77777777" w:rsidR="00FA1251" w:rsidRDefault="0052594B" w:rsidP="00323CD5">
            <w:r w:rsidRPr="003E5FC3">
              <w:t>Cambridgeshire Community Services:</w:t>
            </w:r>
          </w:p>
          <w:p w14:paraId="2FC9D950" w14:textId="77777777" w:rsidR="00FA1251" w:rsidRDefault="00FA1251" w:rsidP="00323CD5"/>
          <w:p w14:paraId="60385FB9" w14:textId="329763FB" w:rsidR="0052594B" w:rsidRPr="003E5FC3" w:rsidRDefault="00FA1251" w:rsidP="00323CD5">
            <w:r>
              <w:t>L</w:t>
            </w:r>
            <w:r w:rsidR="0052594B" w:rsidRPr="003E5FC3">
              <w:t>earning forum</w:t>
            </w:r>
            <w:r w:rsidR="004769EF">
              <w:t>s took place</w:t>
            </w:r>
            <w:r w:rsidR="0052594B" w:rsidRPr="003E5FC3">
              <w:t xml:space="preserve"> in July </w:t>
            </w:r>
            <w:r w:rsidR="004769EF">
              <w:t xml:space="preserve">and September </w:t>
            </w:r>
            <w:r w:rsidR="0052594B" w:rsidRPr="003E5FC3">
              <w:t>2024, and th</w:t>
            </w:r>
            <w:r w:rsidR="004769EF">
              <w:t>ey</w:t>
            </w:r>
            <w:r w:rsidR="0052594B" w:rsidRPr="003E5FC3">
              <w:t xml:space="preserve"> included a presentation on opening records, how to do this, what policies support this and why it is important. A shortened version was then delivered to locality staff.</w:t>
            </w:r>
          </w:p>
          <w:p w14:paraId="6DBD1DB0" w14:textId="77777777" w:rsidR="0052594B" w:rsidRPr="003E5FC3" w:rsidRDefault="0052594B" w:rsidP="00323CD5"/>
          <w:p w14:paraId="0B28CED8" w14:textId="77777777" w:rsidR="0052594B" w:rsidRPr="003E5FC3" w:rsidRDefault="0052594B" w:rsidP="00323CD5">
            <w:r w:rsidRPr="003E5FC3">
              <w:t>CCS opening records policy includes the ‘Think Whole Family’ approach.</w:t>
            </w:r>
          </w:p>
          <w:p w14:paraId="3793E925" w14:textId="77777777" w:rsidR="0052594B" w:rsidRPr="003E5FC3" w:rsidRDefault="0052594B" w:rsidP="00323CD5"/>
          <w:p w14:paraId="4063FE84" w14:textId="77777777" w:rsidR="0052594B" w:rsidRPr="003E5FC3" w:rsidRDefault="0052594B" w:rsidP="00323CD5">
            <w:r w:rsidRPr="003E5FC3">
              <w:t>Bedfordshire Hospitals:</w:t>
            </w:r>
          </w:p>
          <w:p w14:paraId="5727F222" w14:textId="77777777" w:rsidR="0052594B" w:rsidRPr="003E5FC3" w:rsidRDefault="0052594B" w:rsidP="00323CD5">
            <w:r w:rsidRPr="003E5FC3">
              <w:t>When a Child/Young Person is booked into A&amp;E they are asked routinely who is accompanying them and Significant Adults information is clearly documented and captured on information sharing form.</w:t>
            </w:r>
          </w:p>
          <w:p w14:paraId="3280D692" w14:textId="77777777" w:rsidR="0052594B" w:rsidRPr="003E5FC3" w:rsidRDefault="0052594B" w:rsidP="00323CD5"/>
        </w:tc>
      </w:tr>
      <w:tr w:rsidR="0052594B" w:rsidRPr="003E5FC3" w14:paraId="1C355DAD" w14:textId="77777777" w:rsidTr="005A312D">
        <w:tc>
          <w:tcPr>
            <w:tcW w:w="3964" w:type="dxa"/>
          </w:tcPr>
          <w:p w14:paraId="0E7F968D" w14:textId="77777777" w:rsidR="0052594B" w:rsidRPr="003E5FC3" w:rsidRDefault="0052594B" w:rsidP="00323CD5">
            <w:r w:rsidRPr="003E5FC3">
              <w:lastRenderedPageBreak/>
              <w:t>The CBSCP need to ensure that all professionals are aware of the options that housing have in similar type cases where Domestic Abuse is involved and there are children being impacted by being homeless or in unsuitable accommodation.</w:t>
            </w:r>
          </w:p>
          <w:p w14:paraId="4FBF5159" w14:textId="77777777" w:rsidR="0052594B" w:rsidRPr="003E5FC3" w:rsidRDefault="0052594B" w:rsidP="00323CD5">
            <w:pPr>
              <w:pStyle w:val="ListParagraph"/>
              <w:rPr>
                <w:b/>
                <w:bCs/>
              </w:rPr>
            </w:pPr>
          </w:p>
          <w:p w14:paraId="79A0B106" w14:textId="77777777" w:rsidR="0052594B" w:rsidRPr="003E5FC3" w:rsidRDefault="0052594B" w:rsidP="00323CD5">
            <w:r w:rsidRPr="003E5FC3">
              <w:lastRenderedPageBreak/>
              <w:t>Housing departments and Housing societies need to be briefed on this case to understand the risks to children from Domestic Abuse and also of being homeless. The Housing departments and housing societies need to be reminded of their responsibilities to victims of Domestic Abuse.</w:t>
            </w:r>
          </w:p>
          <w:p w14:paraId="24B43063" w14:textId="77777777" w:rsidR="0052594B" w:rsidRPr="003E5FC3" w:rsidRDefault="0052594B" w:rsidP="00323CD5">
            <w:pPr>
              <w:rPr>
                <w:b/>
                <w:bCs/>
              </w:rPr>
            </w:pPr>
          </w:p>
        </w:tc>
        <w:tc>
          <w:tcPr>
            <w:tcW w:w="3544" w:type="dxa"/>
          </w:tcPr>
          <w:p w14:paraId="2FB10D86" w14:textId="77777777" w:rsidR="0052594B" w:rsidRPr="003E5FC3" w:rsidRDefault="0052594B" w:rsidP="00323CD5">
            <w:r w:rsidRPr="003E5FC3">
              <w:lastRenderedPageBreak/>
              <w:t>Work with Central Bedfordshire Housing Team to share this learning.</w:t>
            </w:r>
          </w:p>
        </w:tc>
        <w:tc>
          <w:tcPr>
            <w:tcW w:w="6237" w:type="dxa"/>
          </w:tcPr>
          <w:p w14:paraId="36609310" w14:textId="77777777" w:rsidR="0052594B" w:rsidRPr="00A33388" w:rsidRDefault="0052594B" w:rsidP="00323CD5">
            <w:r w:rsidRPr="00A33388">
              <w:t>The learning has been shared locally with housing staff.</w:t>
            </w:r>
          </w:p>
          <w:p w14:paraId="31F6AE4C" w14:textId="77777777" w:rsidR="0052594B" w:rsidRPr="003E5FC3" w:rsidRDefault="0052594B" w:rsidP="00323CD5">
            <w:pPr>
              <w:rPr>
                <w:b/>
                <w:bCs/>
              </w:rPr>
            </w:pPr>
          </w:p>
          <w:p w14:paraId="5F895926" w14:textId="77777777" w:rsidR="0052594B" w:rsidRDefault="0052594B" w:rsidP="00323CD5">
            <w:r w:rsidRPr="00C64B82">
              <w:t>The report and learning have been shared with the Ministry of Housing, Communities and Local Government (MHCLG), the Central Bedfordshire Housing Service are in dialogue with MHCLG about this learning can be shared amongst Housing Providers nationally, we expect this to be complete by the end of July.</w:t>
            </w:r>
          </w:p>
          <w:p w14:paraId="332DE1D8" w14:textId="77777777" w:rsidR="0052594B" w:rsidRDefault="0052594B" w:rsidP="00323CD5"/>
          <w:p w14:paraId="023DE98C" w14:textId="77777777" w:rsidR="0052594B" w:rsidRPr="003E5FC3" w:rsidRDefault="0052594B" w:rsidP="00323CD5">
            <w:r>
              <w:lastRenderedPageBreak/>
              <w:t>This learning will also be shared to all professionals through our learning webinar and briefings.</w:t>
            </w:r>
          </w:p>
        </w:tc>
      </w:tr>
      <w:tr w:rsidR="0052594B" w:rsidRPr="003E5FC3" w14:paraId="0E037A29" w14:textId="77777777" w:rsidTr="005A312D">
        <w:tc>
          <w:tcPr>
            <w:tcW w:w="3964" w:type="dxa"/>
          </w:tcPr>
          <w:p w14:paraId="46578A12" w14:textId="77777777" w:rsidR="0052594B" w:rsidRPr="003E5FC3" w:rsidRDefault="0052594B" w:rsidP="00323CD5">
            <w:pPr>
              <w:rPr>
                <w:rFonts w:eastAsia="Calibri" w:cstheme="minorHAnsi"/>
              </w:rPr>
            </w:pPr>
            <w:r w:rsidRPr="003E5FC3">
              <w:rPr>
                <w:rFonts w:eastAsia="Calibri" w:cstheme="minorHAnsi"/>
              </w:rPr>
              <w:lastRenderedPageBreak/>
              <w:t>The CBSCP need to raise professionals’ awareness, knowledge and understanding of:</w:t>
            </w:r>
          </w:p>
          <w:p w14:paraId="2758A550" w14:textId="77777777" w:rsidR="0052594B" w:rsidRPr="003E5FC3" w:rsidRDefault="0052594B" w:rsidP="00323CD5">
            <w:pPr>
              <w:rPr>
                <w:rFonts w:eastAsia="Calibri" w:cstheme="minorHAnsi"/>
              </w:rPr>
            </w:pPr>
          </w:p>
          <w:p w14:paraId="0ECAC090" w14:textId="77777777" w:rsidR="0052594B" w:rsidRPr="003E5FC3" w:rsidRDefault="0052594B" w:rsidP="00434E82">
            <w:pPr>
              <w:pStyle w:val="ListParagraph"/>
              <w:numPr>
                <w:ilvl w:val="0"/>
                <w:numId w:val="11"/>
              </w:numPr>
              <w:rPr>
                <w:rFonts w:eastAsia="Calibri" w:cstheme="minorHAnsi"/>
              </w:rPr>
            </w:pPr>
            <w:r w:rsidRPr="003E5FC3">
              <w:rPr>
                <w:rFonts w:eastAsia="Calibri" w:cstheme="minorHAnsi"/>
              </w:rPr>
              <w:t>Ensuring that front-line staff can recognise the signs and symptoms of coercive and controlling behaviour as a key form of domestic abuse.</w:t>
            </w:r>
          </w:p>
          <w:p w14:paraId="134A0744" w14:textId="77777777" w:rsidR="0052594B" w:rsidRPr="003E5FC3" w:rsidRDefault="0052594B" w:rsidP="00323CD5">
            <w:pPr>
              <w:pStyle w:val="ListParagraph"/>
              <w:rPr>
                <w:rFonts w:eastAsia="Calibri" w:cstheme="minorHAnsi"/>
              </w:rPr>
            </w:pPr>
            <w:r w:rsidRPr="003E5FC3">
              <w:rPr>
                <w:rFonts w:eastAsia="Calibri" w:cstheme="minorHAnsi"/>
              </w:rPr>
              <w:t xml:space="preserve">  </w:t>
            </w:r>
          </w:p>
          <w:p w14:paraId="1A0582F6" w14:textId="77777777" w:rsidR="0052594B" w:rsidRPr="003E5FC3" w:rsidRDefault="0052594B" w:rsidP="00434E82">
            <w:pPr>
              <w:pStyle w:val="ListParagraph"/>
              <w:numPr>
                <w:ilvl w:val="0"/>
                <w:numId w:val="11"/>
              </w:numPr>
              <w:rPr>
                <w:rFonts w:eastAsia="Calibri" w:cstheme="minorHAnsi"/>
              </w:rPr>
            </w:pPr>
            <w:r w:rsidRPr="003E5FC3">
              <w:rPr>
                <w:rFonts w:eastAsia="Calibri" w:cstheme="minorHAnsi"/>
              </w:rPr>
              <w:t>The fact that household domestic abuse is always harmful to children.</w:t>
            </w:r>
          </w:p>
          <w:p w14:paraId="607DE73D" w14:textId="77777777" w:rsidR="0052594B" w:rsidRPr="003E5FC3" w:rsidRDefault="0052594B" w:rsidP="00323CD5">
            <w:pPr>
              <w:pStyle w:val="ListParagraph"/>
              <w:rPr>
                <w:rFonts w:eastAsia="Calibri" w:cstheme="minorHAnsi"/>
              </w:rPr>
            </w:pPr>
          </w:p>
          <w:p w14:paraId="591D0120" w14:textId="77777777" w:rsidR="0052594B" w:rsidRPr="003E5FC3" w:rsidRDefault="0052594B" w:rsidP="00434E82">
            <w:pPr>
              <w:pStyle w:val="ListParagraph"/>
              <w:numPr>
                <w:ilvl w:val="0"/>
                <w:numId w:val="11"/>
              </w:numPr>
              <w:rPr>
                <w:rFonts w:eastAsia="Calibri" w:cstheme="minorHAnsi"/>
              </w:rPr>
            </w:pPr>
            <w:r w:rsidRPr="003E5FC3">
              <w:rPr>
                <w:rFonts w:eastAsia="Calibri" w:cstheme="minorHAnsi"/>
              </w:rPr>
              <w:t xml:space="preserve">That all statutory agencies recognise the necessity to complete DASH/DARA’s where a disclosure of domestic abuse has been made, and that this is </w:t>
            </w:r>
            <w:r w:rsidRPr="003E5FC3">
              <w:rPr>
                <w:rFonts w:eastAsia="Calibri" w:cstheme="minorHAnsi"/>
              </w:rPr>
              <w:lastRenderedPageBreak/>
              <w:t xml:space="preserve">embedded into procedures and day to day practice. </w:t>
            </w:r>
          </w:p>
          <w:p w14:paraId="48C10D07" w14:textId="77777777" w:rsidR="0052594B" w:rsidRPr="003E5FC3" w:rsidRDefault="0052594B" w:rsidP="00323CD5">
            <w:pPr>
              <w:pStyle w:val="ListParagraph"/>
              <w:rPr>
                <w:rFonts w:eastAsia="Calibri" w:cstheme="minorHAnsi"/>
              </w:rPr>
            </w:pPr>
          </w:p>
          <w:p w14:paraId="311DAEAB" w14:textId="77777777" w:rsidR="0052594B" w:rsidRPr="003E5FC3" w:rsidRDefault="0052594B" w:rsidP="00434E82">
            <w:pPr>
              <w:pStyle w:val="ListParagraph"/>
              <w:numPr>
                <w:ilvl w:val="0"/>
                <w:numId w:val="11"/>
              </w:numPr>
              <w:rPr>
                <w:rFonts w:eastAsia="Calibri" w:cstheme="minorHAnsi"/>
              </w:rPr>
            </w:pPr>
            <w:r w:rsidRPr="003E5FC3">
              <w:rPr>
                <w:rFonts w:eastAsia="Calibri" w:cstheme="minorHAnsi"/>
              </w:rPr>
              <w:t xml:space="preserve">Where children are in a household where domestic abuse is present, that a children’s safeguarding referral should automatically follow alongside any domestic abuse referrals. </w:t>
            </w:r>
          </w:p>
          <w:p w14:paraId="5AC2A9E4" w14:textId="77777777" w:rsidR="0052594B" w:rsidRPr="003E5FC3" w:rsidRDefault="0052594B" w:rsidP="00323CD5">
            <w:pPr>
              <w:pStyle w:val="ListParagraph"/>
              <w:rPr>
                <w:rFonts w:eastAsia="Calibri" w:cstheme="minorHAnsi"/>
              </w:rPr>
            </w:pPr>
          </w:p>
          <w:p w14:paraId="78FC6C83" w14:textId="77777777" w:rsidR="0052594B" w:rsidRPr="003E5FC3" w:rsidRDefault="0052594B" w:rsidP="00434E82">
            <w:pPr>
              <w:pStyle w:val="ListParagraph"/>
              <w:numPr>
                <w:ilvl w:val="0"/>
                <w:numId w:val="11"/>
              </w:numPr>
              <w:rPr>
                <w:rFonts w:eastAsia="Calibri" w:cstheme="minorHAnsi"/>
              </w:rPr>
            </w:pPr>
            <w:r w:rsidRPr="003E5FC3">
              <w:rPr>
                <w:rFonts w:eastAsia="Calibri" w:cstheme="minorHAnsi"/>
              </w:rPr>
              <w:t>Statutory professional partners undertake training to identify strategies to disrupt perpetrators of domestic abuse.</w:t>
            </w:r>
          </w:p>
        </w:tc>
        <w:tc>
          <w:tcPr>
            <w:tcW w:w="3544" w:type="dxa"/>
          </w:tcPr>
          <w:p w14:paraId="06DBD1E2" w14:textId="77777777" w:rsidR="0052594B" w:rsidRPr="003E5FC3" w:rsidRDefault="0052594B" w:rsidP="00323CD5">
            <w:r w:rsidRPr="003E5FC3">
              <w:lastRenderedPageBreak/>
              <w:t>Suggested actions:</w:t>
            </w:r>
          </w:p>
          <w:p w14:paraId="3A0F7AFB" w14:textId="77777777" w:rsidR="0052594B" w:rsidRPr="003E5FC3" w:rsidRDefault="0052594B" w:rsidP="00323CD5"/>
          <w:p w14:paraId="7EEDCBA4" w14:textId="77777777" w:rsidR="0052594B" w:rsidRPr="003E5FC3" w:rsidRDefault="0052594B" w:rsidP="00323CD5">
            <w:r w:rsidRPr="003E5FC3">
              <w:t xml:space="preserve">Rolling program of training for all front-line staff on identifying and risk assessing dynamics of domestic abuse for both family and intimate partner violence and abuse. </w:t>
            </w:r>
          </w:p>
          <w:p w14:paraId="03AA5854" w14:textId="77777777" w:rsidR="0052594B" w:rsidRPr="003E5FC3" w:rsidRDefault="0052594B" w:rsidP="00323CD5"/>
          <w:p w14:paraId="390B4AD5" w14:textId="77777777" w:rsidR="0052594B" w:rsidRPr="003E5FC3" w:rsidRDefault="0052594B" w:rsidP="00323CD5">
            <w:r w:rsidRPr="003E5FC3">
              <w:t xml:space="preserve">Incorporate domestic abuse risk and impact assessment in all case summaries, assessments and plans for children. Clearly identifying where the risk is coming from, and what that specific risk means to the children living in that household. Linking the environmental impact of domestic abuse on child’s </w:t>
            </w:r>
            <w:r w:rsidRPr="003E5FC3">
              <w:lastRenderedPageBreak/>
              <w:t xml:space="preserve">development. For example, living in fear or heightened state of anxiety can lead to dysregulation, difficulty in being able to rest or relax at home particularly at night can lead to problems with sleeping. </w:t>
            </w:r>
          </w:p>
          <w:p w14:paraId="0142AFB0" w14:textId="77777777" w:rsidR="0052594B" w:rsidRPr="003E5FC3" w:rsidRDefault="0052594B" w:rsidP="00323CD5"/>
          <w:p w14:paraId="765AB266" w14:textId="77777777" w:rsidR="0052594B" w:rsidRPr="003E5FC3" w:rsidRDefault="0052594B" w:rsidP="00323CD5">
            <w:r w:rsidRPr="003E5FC3">
              <w:t xml:space="preserve">Training on using the ‘5 questions’ to establish whether DA is present. Embedding in other assessments or direct work, for example as part of GCP2 toolkit. Incorporating DASH risk assessment with specialist domestic abuse services into all assessments where domestic abuse is present. </w:t>
            </w:r>
          </w:p>
          <w:p w14:paraId="107AED7E" w14:textId="77777777" w:rsidR="0052594B" w:rsidRPr="003E5FC3" w:rsidRDefault="0052594B" w:rsidP="00323CD5"/>
          <w:p w14:paraId="56F5B225" w14:textId="77777777" w:rsidR="0052594B" w:rsidRPr="003E5FC3" w:rsidRDefault="0052594B" w:rsidP="00323CD5">
            <w:r w:rsidRPr="003E5FC3">
              <w:t xml:space="preserve">Link to DASH guidance and form on systems like MOSIAC, to ensure alignment of risk and outcomes with other assessments and/or workflow. Step further would be to consider incorporating requirement for DASH completion where DA is ticked as a risk on systems. </w:t>
            </w:r>
          </w:p>
          <w:p w14:paraId="2AC01833" w14:textId="77777777" w:rsidR="0052594B" w:rsidRPr="003E5FC3" w:rsidRDefault="0052594B" w:rsidP="00323CD5"/>
          <w:p w14:paraId="266D1F71" w14:textId="77777777" w:rsidR="0052594B" w:rsidRPr="003E5FC3" w:rsidRDefault="0052594B" w:rsidP="00323CD5">
            <w:r w:rsidRPr="003E5FC3">
              <w:t xml:space="preserve">Promoting messaging to all front line and community-based teams that both MARAC and Children’s Safeguarding referrals are required where there are concerns about domestic abuse. </w:t>
            </w:r>
          </w:p>
          <w:p w14:paraId="435BED65" w14:textId="77777777" w:rsidR="0052594B" w:rsidRPr="003E5FC3" w:rsidRDefault="0052594B" w:rsidP="00323CD5"/>
          <w:p w14:paraId="38AF1023" w14:textId="77777777" w:rsidR="0052594B" w:rsidRPr="003E5FC3" w:rsidRDefault="0052594B" w:rsidP="00323CD5">
            <w:r w:rsidRPr="003E5FC3">
              <w:t xml:space="preserve">Ensure CBCSB Practitioners Guidance to responding to Domestic Abuse and crib sheet, is embedded into CS practice guidance and team processes. </w:t>
            </w:r>
          </w:p>
          <w:p w14:paraId="2F0ADD64" w14:textId="77777777" w:rsidR="0052594B" w:rsidRPr="003E5FC3" w:rsidRDefault="0052594B" w:rsidP="00323CD5"/>
          <w:p w14:paraId="4EDC1487" w14:textId="77777777" w:rsidR="0052594B" w:rsidRPr="003E5FC3" w:rsidRDefault="0052594B" w:rsidP="00323CD5">
            <w:r w:rsidRPr="003E5FC3">
              <w:t>Bespoke training on engaging with perpetrators could be considered, along with standard off by commissioned perpetrator providers. Highlighting good practice and outcomes across frontline teams.</w:t>
            </w:r>
          </w:p>
          <w:p w14:paraId="6C0C58A8" w14:textId="77777777" w:rsidR="0052594B" w:rsidRPr="003E5FC3" w:rsidRDefault="0052594B" w:rsidP="00323CD5"/>
          <w:p w14:paraId="30B2082A" w14:textId="77777777" w:rsidR="0052594B" w:rsidRPr="003E5FC3" w:rsidRDefault="0052594B" w:rsidP="00323CD5">
            <w:r w:rsidRPr="003E5FC3">
              <w:t xml:space="preserve">Identify as a specific training need for all frontline workers through CPD and supervision.  </w:t>
            </w:r>
          </w:p>
          <w:p w14:paraId="38EFF2B9" w14:textId="77777777" w:rsidR="0052594B" w:rsidRPr="003E5FC3" w:rsidRDefault="0052594B" w:rsidP="00323CD5"/>
          <w:p w14:paraId="683F7746" w14:textId="77777777" w:rsidR="0052594B" w:rsidRPr="003E5FC3" w:rsidRDefault="0052594B" w:rsidP="00323CD5">
            <w:r w:rsidRPr="003E5FC3">
              <w:t xml:space="preserve">Consider including disruption and intervention strategies </w:t>
            </w:r>
            <w:r w:rsidRPr="003E5FC3">
              <w:lastRenderedPageBreak/>
              <w:t>specifically for perpetrators in CIN/CP plans for children.</w:t>
            </w:r>
          </w:p>
        </w:tc>
        <w:tc>
          <w:tcPr>
            <w:tcW w:w="6237" w:type="dxa"/>
          </w:tcPr>
          <w:p w14:paraId="65CFB0FD" w14:textId="77777777" w:rsidR="0052594B" w:rsidRPr="003E5FC3" w:rsidRDefault="0052594B" w:rsidP="00323CD5">
            <w:r w:rsidRPr="003E5FC3">
              <w:lastRenderedPageBreak/>
              <w:t>Pan Bedfordshire Training:</w:t>
            </w:r>
          </w:p>
          <w:p w14:paraId="6BC5BDB6" w14:textId="77777777" w:rsidR="0052594B" w:rsidRPr="003E5FC3" w:rsidRDefault="0052594B" w:rsidP="00323CD5">
            <w:r w:rsidRPr="003E5FC3">
              <w:t xml:space="preserve">Pan Beds multi-agency Domestic Abuse training </w:t>
            </w:r>
            <w:r>
              <w:t xml:space="preserve">in place </w:t>
            </w:r>
            <w:r w:rsidRPr="003E5FC3">
              <w:t>(awareness training and responding to victims/ survivors training) which includes all the listed points. Central Bedfordshire Council also offers a Domestic Abuse Responders training course which is open to Pan Bedfordshire staff and is free to attend.</w:t>
            </w:r>
          </w:p>
          <w:p w14:paraId="1C0BED39" w14:textId="77777777" w:rsidR="0052594B" w:rsidRPr="003E5FC3" w:rsidRDefault="0052594B" w:rsidP="00323CD5"/>
          <w:p w14:paraId="10987229" w14:textId="77777777" w:rsidR="0052594B" w:rsidRPr="003E5FC3" w:rsidRDefault="0052594B" w:rsidP="00323CD5">
            <w:r w:rsidRPr="003E5FC3">
              <w:t xml:space="preserve">In November 2023 there was whole Integrated Front Door (IFD) Service training completed by Independent Domestic Violence Advisors (IDVA) service. Including impact of trauma, DA cycles and risk matrix. </w:t>
            </w:r>
          </w:p>
          <w:p w14:paraId="43604930" w14:textId="77777777" w:rsidR="0052594B" w:rsidRPr="003E5FC3" w:rsidRDefault="0052594B" w:rsidP="00323CD5">
            <w:r w:rsidRPr="003E5FC3">
              <w:t>Central Bedfordshire Council, Children’s Services:</w:t>
            </w:r>
          </w:p>
          <w:p w14:paraId="5FE49C6A" w14:textId="77777777" w:rsidR="0052594B" w:rsidRPr="003E5FC3" w:rsidRDefault="0052594B" w:rsidP="00323CD5">
            <w:r w:rsidRPr="003E5FC3">
              <w:t>CBC reviewed their Multi-agency Safeguarding Hub (MASH) Structure in December 2023 which included the consideration of a lead health representative within the Integrated Front Door (IFD) team.</w:t>
            </w:r>
          </w:p>
          <w:p w14:paraId="60517083" w14:textId="77777777" w:rsidR="0052594B" w:rsidRPr="003E5FC3" w:rsidRDefault="0052594B" w:rsidP="00323CD5">
            <w:r w:rsidRPr="003E5FC3">
              <w:t xml:space="preserve"> </w:t>
            </w:r>
          </w:p>
          <w:p w14:paraId="2F5641E9" w14:textId="77777777" w:rsidR="0052594B" w:rsidRPr="003E5FC3" w:rsidRDefault="0052594B" w:rsidP="00323CD5">
            <w:r w:rsidRPr="003E5FC3">
              <w:t xml:space="preserve">Advanced toolkit and Homicide training took place for the HUB and I&amp;A staff in December 2023. </w:t>
            </w:r>
          </w:p>
          <w:p w14:paraId="1B2B45D6" w14:textId="77777777" w:rsidR="0052594B" w:rsidRDefault="0052594B" w:rsidP="00323CD5"/>
          <w:p w14:paraId="6622F370" w14:textId="77777777" w:rsidR="0052594B" w:rsidRPr="003E5FC3" w:rsidRDefault="0052594B" w:rsidP="00323CD5">
            <w:r w:rsidRPr="003E5FC3">
              <w:t xml:space="preserve">During December 2023 the whole team meeting focussed on increased agency MASH checks and in January 2024 the Managers Meeting focussed on case direction re MASH checks. </w:t>
            </w:r>
          </w:p>
          <w:p w14:paraId="65E20194" w14:textId="77777777" w:rsidR="0052594B" w:rsidRPr="003E5FC3" w:rsidRDefault="0052594B" w:rsidP="00323CD5"/>
          <w:p w14:paraId="2A636834" w14:textId="77777777" w:rsidR="0052594B" w:rsidRPr="003E5FC3" w:rsidRDefault="0052594B" w:rsidP="00323CD5">
            <w:r w:rsidRPr="003E5FC3">
              <w:t xml:space="preserve">Weekly dip-sampling has taken place </w:t>
            </w:r>
            <w:r>
              <w:t xml:space="preserve">since </w:t>
            </w:r>
            <w:r w:rsidRPr="003E5FC3">
              <w:t>with the Quality Assurance and operational teams to ensure consistency.</w:t>
            </w:r>
          </w:p>
          <w:p w14:paraId="42A159C6" w14:textId="77777777" w:rsidR="0052594B" w:rsidRDefault="0052594B" w:rsidP="00323CD5"/>
          <w:p w14:paraId="42FDD453" w14:textId="77777777" w:rsidR="0052594B" w:rsidRPr="003E5FC3" w:rsidRDefault="0052594B" w:rsidP="00323CD5">
            <w:r w:rsidRPr="003E5FC3">
              <w:t xml:space="preserve">The Children’s Services Domestic Abuse training offer was revised and updated and new sessions focusing on Identifying and Responding to risk are now being delivered across Bedfordshire via Workforce development. </w:t>
            </w:r>
          </w:p>
          <w:p w14:paraId="1EC7545D" w14:textId="77777777" w:rsidR="0052594B" w:rsidRPr="003E5FC3" w:rsidRDefault="0052594B" w:rsidP="00323CD5"/>
          <w:p w14:paraId="5FFC2FF3" w14:textId="77777777" w:rsidR="0052594B" w:rsidRPr="003E5FC3" w:rsidRDefault="0052594B" w:rsidP="00323CD5">
            <w:r w:rsidRPr="003E5FC3">
              <w:t xml:space="preserve">Perpetrator provision now mobilised and training offer on engaging with perpetrators for whole IFD team completed in May 2024. </w:t>
            </w:r>
          </w:p>
          <w:p w14:paraId="68C87802" w14:textId="77777777" w:rsidR="0052594B" w:rsidRPr="003E5FC3" w:rsidRDefault="0052594B" w:rsidP="00323CD5"/>
          <w:p w14:paraId="6DB0D2CB" w14:textId="77777777" w:rsidR="0052594B" w:rsidRPr="003E5FC3" w:rsidRDefault="0052594B" w:rsidP="00323CD5">
            <w:r w:rsidRPr="003E5FC3">
              <w:t xml:space="preserve">Further bespoke workshops took place in August 2024 </w:t>
            </w:r>
            <w:r>
              <w:t xml:space="preserve">and October 2024 </w:t>
            </w:r>
            <w:r w:rsidRPr="003E5FC3">
              <w:t xml:space="preserve">for all IFD and partners practitioners and managers. </w:t>
            </w:r>
          </w:p>
          <w:p w14:paraId="3393AF6E" w14:textId="77777777" w:rsidR="0052594B" w:rsidRPr="003E5FC3" w:rsidRDefault="0052594B" w:rsidP="00323CD5"/>
          <w:p w14:paraId="43BDE833" w14:textId="77777777" w:rsidR="0052594B" w:rsidRPr="003E5FC3" w:rsidRDefault="0052594B" w:rsidP="00323CD5">
            <w:r w:rsidRPr="003E5FC3">
              <w:t>Further updates from May 2025 update included a rolling programme of scrutiny at the front door, and mandatory workshops in place.</w:t>
            </w:r>
          </w:p>
          <w:p w14:paraId="6781D32D" w14:textId="77777777" w:rsidR="0052594B" w:rsidRPr="003E5FC3" w:rsidRDefault="0052594B" w:rsidP="00323CD5"/>
          <w:p w14:paraId="7A8F5FB4" w14:textId="77777777" w:rsidR="0052594B" w:rsidRPr="003E5FC3" w:rsidRDefault="0052594B" w:rsidP="00323CD5">
            <w:r w:rsidRPr="003E5FC3">
              <w:t>East London Foundation Trust:</w:t>
            </w:r>
          </w:p>
          <w:p w14:paraId="69576DFB" w14:textId="77777777" w:rsidR="0052594B" w:rsidRDefault="0052594B" w:rsidP="00323CD5">
            <w:r w:rsidRPr="0028473A">
              <w:t xml:space="preserve">Domestic abuse is covered in ELFT’s standard Level three safeguarding training course, are also developing a level </w:t>
            </w:r>
            <w:r w:rsidRPr="0028473A">
              <w:lastRenderedPageBreak/>
              <w:t>three online training update that ELFT practitioners can access as part of their yearly L3 Update training needs – this should be complete by September 2025.</w:t>
            </w:r>
          </w:p>
          <w:p w14:paraId="5A231E1C" w14:textId="77777777" w:rsidR="0052594B" w:rsidRPr="003E5FC3" w:rsidRDefault="0052594B" w:rsidP="00323CD5"/>
          <w:p w14:paraId="1046EF8B" w14:textId="77777777" w:rsidR="0052594B" w:rsidRPr="003E5FC3" w:rsidRDefault="0052594B" w:rsidP="00323CD5">
            <w:r w:rsidRPr="003E5FC3">
              <w:t xml:space="preserve">ELFT are also in the process of conducting a QI project over the next few months around making routine enquiries and how we can record this on our electronic system, so that practitioners are asking the question around healthy happy relationships as part of their routine assessments. </w:t>
            </w:r>
          </w:p>
          <w:p w14:paraId="0C605308" w14:textId="77777777" w:rsidR="0052594B" w:rsidRPr="003E5FC3" w:rsidRDefault="0052594B" w:rsidP="00323CD5"/>
          <w:p w14:paraId="665E21D6" w14:textId="77777777" w:rsidR="0052594B" w:rsidRPr="003E5FC3" w:rsidRDefault="0052594B" w:rsidP="00323CD5">
            <w:r w:rsidRPr="003E5FC3">
              <w:t xml:space="preserve">Domestic abuse is a subject that comes up regularly within safeguarding supervision and the CBC Domestic Abuse Manager has provided links for ELFT practitioners who are working with young male adult perpetrators of DA against parents so that support can be accessed for them. </w:t>
            </w:r>
          </w:p>
          <w:p w14:paraId="4444F6F8" w14:textId="77777777" w:rsidR="0052594B" w:rsidRPr="003E5FC3" w:rsidRDefault="0052594B" w:rsidP="00323CD5">
            <w:r w:rsidRPr="003E5FC3">
              <w:t>DASH and Young persons DASH are also covered in ELFT’s L3 Safeguarding training package and in safeguarding supervision.</w:t>
            </w:r>
          </w:p>
          <w:p w14:paraId="24C354F9" w14:textId="77777777" w:rsidR="0052594B" w:rsidRPr="003E5FC3" w:rsidRDefault="0052594B" w:rsidP="00323CD5"/>
          <w:p w14:paraId="749F95DE" w14:textId="77777777" w:rsidR="0052594B" w:rsidRPr="003E5FC3" w:rsidRDefault="0052594B" w:rsidP="00323CD5">
            <w:r w:rsidRPr="003E5FC3">
              <w:t>Cambridgeshire Community Services:</w:t>
            </w:r>
          </w:p>
          <w:p w14:paraId="29455571" w14:textId="77777777" w:rsidR="0052594B" w:rsidRPr="003E5FC3" w:rsidRDefault="0052594B" w:rsidP="00323CD5">
            <w:r w:rsidRPr="003E5FC3">
              <w:t xml:space="preserve">CCS has a domestic abuse L3 training package which is available to CCS practitioners. </w:t>
            </w:r>
          </w:p>
          <w:p w14:paraId="63EBAA30" w14:textId="77777777" w:rsidR="0052594B" w:rsidRPr="003E5FC3" w:rsidRDefault="0052594B" w:rsidP="00323CD5"/>
          <w:p w14:paraId="62ECE0FB" w14:textId="77777777" w:rsidR="0052594B" w:rsidRPr="003E5FC3" w:rsidRDefault="0052594B" w:rsidP="00323CD5">
            <w:r w:rsidRPr="003E5FC3">
              <w:t>There are quick links on our clinical recording system (Syst</w:t>
            </w:r>
            <w:r>
              <w:t>e</w:t>
            </w:r>
            <w:r w:rsidRPr="003E5FC3">
              <w:t>mOne) to DASH forms – these are also on the intranet and on the safeguarding Padlet.</w:t>
            </w:r>
          </w:p>
          <w:p w14:paraId="347FEC74" w14:textId="77777777" w:rsidR="0052594B" w:rsidRPr="003E5FC3" w:rsidRDefault="0052594B" w:rsidP="00323CD5"/>
          <w:p w14:paraId="2A9EEDDE" w14:textId="77777777" w:rsidR="0052594B" w:rsidRPr="003E5FC3" w:rsidRDefault="0052594B" w:rsidP="00323CD5">
            <w:r w:rsidRPr="003E5FC3">
              <w:t xml:space="preserve">CCS also has a domestic abuse policy with the inclusion of this information. </w:t>
            </w:r>
          </w:p>
          <w:p w14:paraId="2E181B51" w14:textId="77777777" w:rsidR="0052594B" w:rsidRPr="003E5FC3" w:rsidRDefault="0052594B" w:rsidP="00323CD5"/>
          <w:p w14:paraId="6DDCB8B5" w14:textId="77777777" w:rsidR="0052594B" w:rsidRPr="003E5FC3" w:rsidRDefault="0052594B" w:rsidP="00323CD5">
            <w:r w:rsidRPr="003E5FC3">
              <w:lastRenderedPageBreak/>
              <w:t>Bedfordshire Police:</w:t>
            </w:r>
          </w:p>
          <w:p w14:paraId="47A6E021" w14:textId="77777777" w:rsidR="0052594B" w:rsidRPr="003E5FC3" w:rsidRDefault="0052594B" w:rsidP="00323CD5">
            <w:r w:rsidRPr="003E5FC3">
              <w:t>Safe Lives ‘DA Matters’ training rolled out across the force, including the control room, first responders and investigators.  This is an ongoing programme.</w:t>
            </w:r>
          </w:p>
          <w:p w14:paraId="67F12CE0" w14:textId="77777777" w:rsidR="0052594B" w:rsidRPr="003E5FC3" w:rsidRDefault="0052594B" w:rsidP="00323CD5">
            <w:r w:rsidRPr="003E5FC3">
              <w:t xml:space="preserve"> </w:t>
            </w:r>
          </w:p>
          <w:p w14:paraId="2A5373E1" w14:textId="77777777" w:rsidR="0052594B" w:rsidRPr="003E5FC3" w:rsidRDefault="0052594B" w:rsidP="00323CD5">
            <w:r w:rsidRPr="003E5FC3">
              <w:t>Specialist DA investigators in the Emerald team receive a 2-day course before joining the team.  This includes the use of DVPNs</w:t>
            </w:r>
          </w:p>
          <w:p w14:paraId="5E9144CB" w14:textId="77777777" w:rsidR="0052594B" w:rsidRPr="003E5FC3" w:rsidRDefault="0052594B" w:rsidP="00323CD5"/>
          <w:p w14:paraId="06091995" w14:textId="77777777" w:rsidR="0052594B" w:rsidRPr="003E5FC3" w:rsidRDefault="0052594B" w:rsidP="00323CD5">
            <w:r w:rsidRPr="003E5FC3">
              <w:t>There is now a mandated process for considering Coercive and Controlling Behaviour when there is a series of incidents between the same parties.  This is covered in supervisor gatekeeping.</w:t>
            </w:r>
          </w:p>
          <w:p w14:paraId="262729F2" w14:textId="77777777" w:rsidR="0052594B" w:rsidRPr="003E5FC3" w:rsidRDefault="0052594B" w:rsidP="00323CD5"/>
          <w:p w14:paraId="4780E0F6" w14:textId="77777777" w:rsidR="0052594B" w:rsidRPr="003E5FC3" w:rsidRDefault="0052594B" w:rsidP="00434E82">
            <w:pPr>
              <w:pStyle w:val="ListParagraph"/>
              <w:numPr>
                <w:ilvl w:val="0"/>
                <w:numId w:val="12"/>
              </w:numPr>
            </w:pPr>
            <w:r w:rsidRPr="003E5FC3">
              <w:t>No incident can be closed without acknowledgement that a DARA has been completed.</w:t>
            </w:r>
          </w:p>
          <w:p w14:paraId="3643121D" w14:textId="77777777" w:rsidR="0052594B" w:rsidRPr="003E5FC3" w:rsidRDefault="0052594B" w:rsidP="00434E82">
            <w:pPr>
              <w:pStyle w:val="ListParagraph"/>
              <w:numPr>
                <w:ilvl w:val="0"/>
                <w:numId w:val="12"/>
              </w:numPr>
            </w:pPr>
            <w:r w:rsidRPr="003E5FC3">
              <w:t>Op Encompass is now very well established and ensures that schools are made aware of children who have been present at DA incidents so that support can be offered.</w:t>
            </w:r>
          </w:p>
          <w:p w14:paraId="461AA6B8" w14:textId="77777777" w:rsidR="0052594B" w:rsidRPr="003E5FC3" w:rsidRDefault="0052594B" w:rsidP="00434E82">
            <w:pPr>
              <w:pStyle w:val="ListParagraph"/>
              <w:numPr>
                <w:ilvl w:val="0"/>
                <w:numId w:val="12"/>
              </w:numPr>
            </w:pPr>
            <w:r w:rsidRPr="003E5FC3">
              <w:t xml:space="preserve">The force has a DA Silver meeting and data is produced by analysts which includes high risk offenders.  Risk mitigation plans are discussed and agreed.  </w:t>
            </w:r>
          </w:p>
          <w:p w14:paraId="077AC5ED" w14:textId="77777777" w:rsidR="0052594B" w:rsidRPr="003E5FC3" w:rsidRDefault="0052594B" w:rsidP="00323CD5"/>
          <w:p w14:paraId="0C07C9DA" w14:textId="77777777" w:rsidR="0052594B" w:rsidRPr="003E5FC3" w:rsidRDefault="0052594B" w:rsidP="00323CD5">
            <w:r w:rsidRPr="003E5FC3">
              <w:t>Bedfordshire Police have confirmed they have good DASH completion rate.</w:t>
            </w:r>
          </w:p>
          <w:p w14:paraId="21D75EE1" w14:textId="77777777" w:rsidR="0052594B" w:rsidRPr="003E5FC3" w:rsidRDefault="0052594B" w:rsidP="00323CD5"/>
          <w:p w14:paraId="5E5F976E" w14:textId="77777777" w:rsidR="0052594B" w:rsidRPr="003E5FC3" w:rsidRDefault="0052594B" w:rsidP="00323CD5">
            <w:r w:rsidRPr="003E5FC3">
              <w:t>Bedfordshire Hospitals:</w:t>
            </w:r>
          </w:p>
          <w:p w14:paraId="144151EC" w14:textId="77777777" w:rsidR="0052594B" w:rsidRPr="003E5FC3" w:rsidRDefault="0052594B" w:rsidP="00323CD5">
            <w:r w:rsidRPr="003E5FC3">
              <w:t xml:space="preserve">Hospital IDVAS work across the trust, whereby domestic abuse questions are routinely asked when concerning </w:t>
            </w:r>
            <w:r w:rsidRPr="003E5FC3">
              <w:lastRenderedPageBreak/>
              <w:t>factors are identified. Domestic abuse questions are routinely asked at booking, in relation to women who are pregnant.</w:t>
            </w:r>
          </w:p>
          <w:p w14:paraId="28F080FC" w14:textId="77777777" w:rsidR="0052594B" w:rsidRPr="003E5FC3" w:rsidRDefault="0052594B" w:rsidP="00323CD5"/>
          <w:p w14:paraId="2D910A81" w14:textId="77777777" w:rsidR="0052594B" w:rsidRPr="003E5FC3" w:rsidRDefault="0052594B" w:rsidP="00323CD5">
            <w:r w:rsidRPr="003E5FC3">
              <w:t>There is close liaison with Adult Safeguarding colleagues in regard to families presenting whereby domestic abuse concerns are identified, and consideration in view of the think family agenda.</w:t>
            </w:r>
          </w:p>
          <w:p w14:paraId="304CD13A" w14:textId="77777777" w:rsidR="0052594B" w:rsidRPr="003E5FC3" w:rsidRDefault="0052594B" w:rsidP="00323CD5"/>
        </w:tc>
      </w:tr>
      <w:tr w:rsidR="0052594B" w:rsidRPr="003E5FC3" w14:paraId="3687DDBB" w14:textId="77777777" w:rsidTr="005A312D">
        <w:tc>
          <w:tcPr>
            <w:tcW w:w="3964" w:type="dxa"/>
          </w:tcPr>
          <w:p w14:paraId="36723370" w14:textId="77777777" w:rsidR="0052594B" w:rsidRPr="003E5FC3" w:rsidRDefault="0052594B" w:rsidP="00323CD5">
            <w:pPr>
              <w:rPr>
                <w:rFonts w:eastAsia="Calibri" w:cstheme="minorHAnsi"/>
              </w:rPr>
            </w:pPr>
            <w:r w:rsidRPr="003E5FC3">
              <w:rPr>
                <w:rFonts w:eastAsia="Calibri" w:cstheme="minorHAnsi"/>
              </w:rPr>
              <w:lastRenderedPageBreak/>
              <w:t>The CBSCP should promote the use of:</w:t>
            </w:r>
          </w:p>
          <w:p w14:paraId="562C2089" w14:textId="77777777" w:rsidR="0052594B" w:rsidRPr="003E5FC3" w:rsidRDefault="0052594B" w:rsidP="00323CD5">
            <w:pPr>
              <w:rPr>
                <w:rFonts w:eastAsia="Calibri" w:cstheme="minorHAnsi"/>
              </w:rPr>
            </w:pPr>
          </w:p>
          <w:p w14:paraId="75E9013B" w14:textId="77777777" w:rsidR="0052594B" w:rsidRPr="003E5FC3" w:rsidRDefault="0052594B" w:rsidP="00434E82">
            <w:pPr>
              <w:pStyle w:val="ListParagraph"/>
              <w:numPr>
                <w:ilvl w:val="0"/>
                <w:numId w:val="13"/>
              </w:numPr>
              <w:rPr>
                <w:rFonts w:eastAsia="Calibri" w:cstheme="minorHAnsi"/>
              </w:rPr>
            </w:pPr>
            <w:r w:rsidRPr="003E5FC3">
              <w:rPr>
                <w:rFonts w:eastAsia="Calibri" w:cstheme="minorHAnsi"/>
              </w:rPr>
              <w:t>Multi-agency meetings to improve information sharing and assessment of risk. This should include cross border information sharing and assessment of risk decision making. There are no multi-agency meetings evidenced in this case.</w:t>
            </w:r>
          </w:p>
          <w:p w14:paraId="06E12FFF" w14:textId="77777777" w:rsidR="0052594B" w:rsidRPr="003E5FC3" w:rsidRDefault="0052594B" w:rsidP="00323CD5">
            <w:pPr>
              <w:pStyle w:val="ListParagraph"/>
              <w:rPr>
                <w:rFonts w:eastAsia="Calibri" w:cstheme="minorHAnsi"/>
              </w:rPr>
            </w:pPr>
          </w:p>
          <w:p w14:paraId="07FAEAFC" w14:textId="77777777" w:rsidR="0052594B" w:rsidRPr="003E5FC3" w:rsidRDefault="0052594B" w:rsidP="00434E82">
            <w:pPr>
              <w:pStyle w:val="ListParagraph"/>
              <w:numPr>
                <w:ilvl w:val="0"/>
                <w:numId w:val="13"/>
              </w:numPr>
              <w:rPr>
                <w:rFonts w:eastAsia="Calibri" w:cstheme="minorHAnsi"/>
              </w:rPr>
            </w:pPr>
            <w:r w:rsidRPr="003E5FC3">
              <w:rPr>
                <w:rFonts w:eastAsia="Calibri" w:cstheme="minorHAnsi"/>
              </w:rPr>
              <w:t>The use of escalation needs to be highlighted to all professionals and agencies. It could have been used in this case and wasn’t.</w:t>
            </w:r>
          </w:p>
          <w:p w14:paraId="40157281" w14:textId="77777777" w:rsidR="0052594B" w:rsidRPr="003E5FC3" w:rsidRDefault="0052594B" w:rsidP="00323CD5">
            <w:pPr>
              <w:rPr>
                <w:b/>
                <w:bCs/>
              </w:rPr>
            </w:pPr>
          </w:p>
        </w:tc>
        <w:tc>
          <w:tcPr>
            <w:tcW w:w="3544" w:type="dxa"/>
          </w:tcPr>
          <w:p w14:paraId="11D6981B" w14:textId="77777777" w:rsidR="0052594B" w:rsidRPr="003E5FC3" w:rsidRDefault="0052594B" w:rsidP="00323CD5">
            <w:r w:rsidRPr="003E5FC3">
              <w:t>Managers from Central Bedfordshire, Norfolk and Suffolk to meet and discuss.</w:t>
            </w:r>
          </w:p>
          <w:p w14:paraId="70960418" w14:textId="77777777" w:rsidR="0052594B" w:rsidRPr="003E5FC3" w:rsidRDefault="0052594B" w:rsidP="00323CD5"/>
          <w:p w14:paraId="46280714" w14:textId="77777777" w:rsidR="0052594B" w:rsidRPr="003E5FC3" w:rsidRDefault="0052594B" w:rsidP="00323CD5">
            <w:r w:rsidRPr="003E5FC3">
              <w:t>Promotion of the Escalation Process.</w:t>
            </w:r>
          </w:p>
        </w:tc>
        <w:tc>
          <w:tcPr>
            <w:tcW w:w="6237" w:type="dxa"/>
          </w:tcPr>
          <w:p w14:paraId="08A45592" w14:textId="77777777" w:rsidR="0052594B" w:rsidRPr="003E5FC3" w:rsidRDefault="0052594B" w:rsidP="00323CD5">
            <w:r w:rsidRPr="003E5FC3">
              <w:t xml:space="preserve">Managers from Central Bedfordshire, Norfolk and Suffolk met in July 2024 to discuss how they could better use/improve multiagency meetings such as Strategy Discussions specifically. </w:t>
            </w:r>
          </w:p>
          <w:p w14:paraId="23738A92" w14:textId="77777777" w:rsidR="0052594B" w:rsidRPr="003E5FC3" w:rsidRDefault="0052594B" w:rsidP="00323CD5">
            <w:r w:rsidRPr="003E5FC3">
              <w:t xml:space="preserve">In the case of Isabella, information sharing was not necessarily an issue, however they did agree the full history, where there is a child of a vulnerable adult involved, would be shared routinely when requested. </w:t>
            </w:r>
          </w:p>
          <w:p w14:paraId="2297D649" w14:textId="77777777" w:rsidR="0052594B" w:rsidRPr="003E5FC3" w:rsidRDefault="0052594B" w:rsidP="00323CD5">
            <w:r w:rsidRPr="003E5FC3">
              <w:t xml:space="preserve"> </w:t>
            </w:r>
          </w:p>
          <w:p w14:paraId="360480CB" w14:textId="77777777" w:rsidR="0052594B" w:rsidRPr="003E5FC3" w:rsidRDefault="0052594B" w:rsidP="00323CD5">
            <w:r w:rsidRPr="003E5FC3">
              <w:t>All 3 Local Authorities agreed they should always escalate to their relevant senior managers in their own Local Authority and to those in the other Local Authority, if it is deemed the pathway/outcome decisions are incorrect.</w:t>
            </w:r>
          </w:p>
          <w:p w14:paraId="65CDB027" w14:textId="77777777" w:rsidR="0052594B" w:rsidRPr="003E5FC3" w:rsidRDefault="0052594B" w:rsidP="00323CD5"/>
          <w:p w14:paraId="1EEBC227" w14:textId="77777777" w:rsidR="0052594B" w:rsidRPr="003E5FC3" w:rsidRDefault="0052594B" w:rsidP="00323CD5">
            <w:r w:rsidRPr="003E5FC3">
              <w:t>Information regarding the Escalation Process in contained withing our Safeguarding Bedfordshire Standard Working Together Training. We have also developed a stand-alone webinar which will be delivered once some trainers have been identified.</w:t>
            </w:r>
          </w:p>
          <w:p w14:paraId="558420EB" w14:textId="77777777" w:rsidR="0052594B" w:rsidRPr="003E5FC3" w:rsidRDefault="0052594B" w:rsidP="00323CD5">
            <w:pPr>
              <w:rPr>
                <w:b/>
                <w:bCs/>
              </w:rPr>
            </w:pPr>
          </w:p>
          <w:p w14:paraId="48EFAD8A" w14:textId="77777777" w:rsidR="0052594B" w:rsidRPr="003E5FC3" w:rsidRDefault="0052594B" w:rsidP="00323CD5">
            <w:r w:rsidRPr="003E5FC3">
              <w:lastRenderedPageBreak/>
              <w:t xml:space="preserve">Information regarding the Escalation Process is available on our Safeguarding Bedfordshire website </w:t>
            </w:r>
          </w:p>
          <w:p w14:paraId="2DE15CA1" w14:textId="77777777" w:rsidR="0052594B" w:rsidRPr="003E5FC3" w:rsidRDefault="0052594B" w:rsidP="00323CD5">
            <w:hyperlink r:id="rId25" w:history="1">
              <w:r w:rsidRPr="003E5FC3">
                <w:rPr>
                  <w:rStyle w:val="Hyperlink"/>
                </w:rPr>
                <w:t>https://safeguardingbedfordshire.org.uk/p/report-a-concern/escalating-concerns</w:t>
              </w:r>
            </w:hyperlink>
            <w:r w:rsidRPr="003E5FC3">
              <w:t xml:space="preserve"> </w:t>
            </w:r>
          </w:p>
          <w:p w14:paraId="39AB49A1" w14:textId="77777777" w:rsidR="0052594B" w:rsidRPr="003E5FC3" w:rsidRDefault="0052594B" w:rsidP="00323CD5"/>
          <w:p w14:paraId="7B3487B7" w14:textId="77777777" w:rsidR="0052594B" w:rsidRPr="003E5FC3" w:rsidRDefault="0052594B" w:rsidP="00323CD5">
            <w:r w:rsidRPr="003E5FC3">
              <w:t>The link to the process has also been included within our Safeguarding Bedfordshire Newsletters.</w:t>
            </w:r>
          </w:p>
          <w:p w14:paraId="29477CB4" w14:textId="77777777" w:rsidR="0052594B" w:rsidRPr="003E5FC3" w:rsidRDefault="0052594B" w:rsidP="00323CD5">
            <w:pPr>
              <w:rPr>
                <w:b/>
                <w:bCs/>
              </w:rPr>
            </w:pPr>
          </w:p>
        </w:tc>
      </w:tr>
      <w:tr w:rsidR="0052594B" w:rsidRPr="003E5FC3" w14:paraId="743F2FC8" w14:textId="77777777" w:rsidTr="005A312D">
        <w:tc>
          <w:tcPr>
            <w:tcW w:w="3964" w:type="dxa"/>
          </w:tcPr>
          <w:p w14:paraId="15522EB2" w14:textId="77777777" w:rsidR="0052594B" w:rsidRPr="003E5FC3" w:rsidRDefault="0052594B" w:rsidP="00323CD5">
            <w:pPr>
              <w:rPr>
                <w:rFonts w:eastAsia="Calibri" w:cstheme="minorHAnsi"/>
              </w:rPr>
            </w:pPr>
            <w:r w:rsidRPr="003E5FC3">
              <w:rPr>
                <w:rFonts w:eastAsia="Calibri" w:cstheme="minorHAnsi"/>
              </w:rPr>
              <w:lastRenderedPageBreak/>
              <w:t>The CBSCP should advise professionals that a diagnosis of ADHD is a disability characteristic, also the pathways that should be taken and by whom for those going through a formal diagnosis of ADHD. They should also highlight what reasonable adjustments should be made for the clients.</w:t>
            </w:r>
          </w:p>
          <w:p w14:paraId="0CD61B63" w14:textId="77777777" w:rsidR="0052594B" w:rsidRPr="003E5FC3" w:rsidRDefault="0052594B" w:rsidP="00323CD5">
            <w:pPr>
              <w:rPr>
                <w:b/>
                <w:bCs/>
              </w:rPr>
            </w:pPr>
          </w:p>
        </w:tc>
        <w:tc>
          <w:tcPr>
            <w:tcW w:w="3544" w:type="dxa"/>
          </w:tcPr>
          <w:p w14:paraId="0CE56BB3" w14:textId="77777777" w:rsidR="0052594B" w:rsidRPr="003E5FC3" w:rsidRDefault="0052594B" w:rsidP="00323CD5">
            <w:r w:rsidRPr="003E5FC3">
              <w:t>Information to be shared within CBSCP partner agencies.</w:t>
            </w:r>
          </w:p>
        </w:tc>
        <w:tc>
          <w:tcPr>
            <w:tcW w:w="6237" w:type="dxa"/>
          </w:tcPr>
          <w:p w14:paraId="5861777C" w14:textId="77777777" w:rsidR="0052594B" w:rsidRPr="003E5FC3" w:rsidRDefault="0052594B" w:rsidP="00323CD5">
            <w:r w:rsidRPr="003E5FC3">
              <w:t>CBSCP Partners have been asked to share this information regarding ADHD and reasonable adjustments within their agencies.</w:t>
            </w:r>
          </w:p>
          <w:p w14:paraId="2E31B880" w14:textId="77777777" w:rsidR="0052594B" w:rsidRPr="003E5FC3" w:rsidRDefault="0052594B" w:rsidP="00323CD5"/>
          <w:p w14:paraId="447FC1EB" w14:textId="77777777" w:rsidR="0052594B" w:rsidRPr="003E5FC3" w:rsidRDefault="0052594B" w:rsidP="00323CD5">
            <w:pPr>
              <w:rPr>
                <w:b/>
                <w:bCs/>
              </w:rPr>
            </w:pPr>
            <w:r w:rsidRPr="003E5FC3">
              <w:t>Links to NHS information regarding ADHD has also been added to the Safeguarding Bedfordshire website and shared within our Safeguarding Bedfordshire Newsletters.</w:t>
            </w:r>
          </w:p>
        </w:tc>
      </w:tr>
      <w:tr w:rsidR="0052594B" w:rsidRPr="003E5FC3" w14:paraId="605A0430" w14:textId="77777777" w:rsidTr="005A312D">
        <w:tc>
          <w:tcPr>
            <w:tcW w:w="3964" w:type="dxa"/>
          </w:tcPr>
          <w:p w14:paraId="3718FC93" w14:textId="77777777" w:rsidR="0052594B" w:rsidRPr="003E5FC3" w:rsidRDefault="0052594B" w:rsidP="00323CD5">
            <w:pPr>
              <w:rPr>
                <w:rFonts w:eastAsia="Calibri" w:cstheme="minorHAnsi"/>
              </w:rPr>
            </w:pPr>
            <w:r w:rsidRPr="003E5FC3">
              <w:rPr>
                <w:rFonts w:eastAsia="Calibri" w:cstheme="minorHAnsi"/>
              </w:rPr>
              <w:t>The CBSCP should initiate the discussions for the</w:t>
            </w:r>
            <w:r w:rsidRPr="003E5FC3">
              <w:t xml:space="preserve"> </w:t>
            </w:r>
            <w:r w:rsidRPr="003E5FC3">
              <w:rPr>
                <w:rFonts w:eastAsia="Calibri" w:cstheme="minorHAnsi"/>
              </w:rPr>
              <w:t>development of regional or national cross-border guidance which includes the opportunity for Children’s Services to request welfare visits, and for a Section 47 to be initiated in the area the child is now resident.</w:t>
            </w:r>
          </w:p>
          <w:p w14:paraId="549E630D" w14:textId="77777777" w:rsidR="0052594B" w:rsidRPr="003E5FC3" w:rsidRDefault="0052594B" w:rsidP="00323CD5">
            <w:pPr>
              <w:rPr>
                <w:b/>
                <w:bCs/>
              </w:rPr>
            </w:pPr>
          </w:p>
        </w:tc>
        <w:tc>
          <w:tcPr>
            <w:tcW w:w="3544" w:type="dxa"/>
          </w:tcPr>
          <w:p w14:paraId="5B4AC6C8" w14:textId="77777777" w:rsidR="0052594B" w:rsidRPr="003E5FC3" w:rsidRDefault="0052594B" w:rsidP="00323CD5">
            <w:r w:rsidRPr="003E5FC3">
              <w:t>Recommendation to be discussed at the Eastern Region Meetings</w:t>
            </w:r>
          </w:p>
        </w:tc>
        <w:tc>
          <w:tcPr>
            <w:tcW w:w="6237" w:type="dxa"/>
          </w:tcPr>
          <w:p w14:paraId="5EB8D76C" w14:textId="77777777" w:rsidR="0052594B" w:rsidRPr="003E5FC3" w:rsidRDefault="0052594B" w:rsidP="00323CD5">
            <w:r w:rsidRPr="003E5FC3">
              <w:t>The Eastern Region had an existing protocol that cover</w:t>
            </w:r>
            <w:r>
              <w:t>ed</w:t>
            </w:r>
            <w:r w:rsidRPr="003E5FC3">
              <w:t xml:space="preserve"> the transfer of children across local authority boundaries for children on Child Protection Plans, this has now been updated to include Children in Need.</w:t>
            </w:r>
          </w:p>
          <w:p w14:paraId="742D323B" w14:textId="77777777" w:rsidR="0052594B" w:rsidRPr="003E5FC3" w:rsidRDefault="0052594B" w:rsidP="00323CD5">
            <w:pPr>
              <w:contextualSpacing/>
              <w:rPr>
                <w:rFonts w:eastAsia="Times New Roman" w:cs="Arial"/>
                <w14:ligatures w14:val="none"/>
              </w:rPr>
            </w:pPr>
          </w:p>
          <w:p w14:paraId="04ED0623" w14:textId="77777777" w:rsidR="0052594B" w:rsidRPr="003E5FC3" w:rsidRDefault="0052594B" w:rsidP="00323CD5">
            <w:pPr>
              <w:contextualSpacing/>
              <w:rPr>
                <w:rFonts w:eastAsia="Times New Roman" w:cs="Arial"/>
                <w14:ligatures w14:val="none"/>
              </w:rPr>
            </w:pPr>
            <w:r w:rsidRPr="003E5FC3">
              <w:rPr>
                <w:rFonts w:eastAsia="Times New Roman" w:cs="Arial"/>
                <w14:ligatures w14:val="none"/>
              </w:rPr>
              <w:t>A Pan Bedfordshire Protocol was also agreed include responsibilities under s17 CIN as well as s47 CP enquiries.</w:t>
            </w:r>
          </w:p>
          <w:p w14:paraId="14111434" w14:textId="77777777" w:rsidR="0052594B" w:rsidRPr="003E5FC3" w:rsidRDefault="0052594B" w:rsidP="00323CD5">
            <w:pPr>
              <w:contextualSpacing/>
              <w:rPr>
                <w:rFonts w:eastAsia="Times New Roman" w:cs="Arial"/>
                <w14:ligatures w14:val="none"/>
              </w:rPr>
            </w:pPr>
          </w:p>
          <w:p w14:paraId="6E40DE2A" w14:textId="77777777" w:rsidR="0052594B" w:rsidRPr="003E5FC3" w:rsidRDefault="0052594B" w:rsidP="00323CD5">
            <w:pPr>
              <w:contextualSpacing/>
              <w:rPr>
                <w:rFonts w:eastAsia="Times New Roman" w:cs="Arial"/>
                <w14:ligatures w14:val="none"/>
              </w:rPr>
            </w:pPr>
            <w:r w:rsidRPr="003E5FC3">
              <w:rPr>
                <w:rFonts w:eastAsia="Times New Roman" w:cs="Arial"/>
                <w14:ligatures w14:val="none"/>
              </w:rPr>
              <w:t xml:space="preserve">In relation to welfare visits we are aware that the National Panel has agreed in another CSPR that there is national policy recommendation to be clear about the </w:t>
            </w:r>
            <w:r w:rsidRPr="003E5FC3">
              <w:rPr>
                <w:rFonts w:eastAsia="Times New Roman" w:cs="Arial"/>
                <w14:ligatures w14:val="none"/>
              </w:rPr>
              <w:lastRenderedPageBreak/>
              <w:t xml:space="preserve">responsibility of initiating visits and S47s. This action cannot be completed until that CSPR report is published.  </w:t>
            </w:r>
          </w:p>
          <w:p w14:paraId="4997D1D7" w14:textId="77777777" w:rsidR="0052594B" w:rsidRPr="003E5FC3" w:rsidRDefault="0052594B" w:rsidP="00323CD5">
            <w:pPr>
              <w:contextualSpacing/>
              <w:rPr>
                <w:b/>
                <w:bCs/>
              </w:rPr>
            </w:pPr>
          </w:p>
        </w:tc>
      </w:tr>
    </w:tbl>
    <w:p w14:paraId="5BC78AA0" w14:textId="77777777" w:rsidR="00DB3771" w:rsidRDefault="00DB3771" w:rsidP="004D69A0">
      <w:pPr>
        <w:spacing w:after="0" w:line="240" w:lineRule="auto"/>
        <w:rPr>
          <w:b/>
          <w:bCs/>
        </w:rPr>
      </w:pPr>
    </w:p>
    <w:p w14:paraId="27FC0D31" w14:textId="77042007" w:rsidR="003A3EB2" w:rsidRDefault="00854946" w:rsidP="004D69A0">
      <w:pPr>
        <w:spacing w:after="0" w:line="240" w:lineRule="auto"/>
        <w:rPr>
          <w:b/>
          <w:bCs/>
        </w:rPr>
      </w:pPr>
      <w:r>
        <w:rPr>
          <w:b/>
          <w:bCs/>
        </w:rPr>
        <w:t xml:space="preserve">Case 2 – </w:t>
      </w:r>
      <w:r w:rsidR="003A3EB2" w:rsidRPr="00854946">
        <w:rPr>
          <w:b/>
          <w:bCs/>
        </w:rPr>
        <w:t xml:space="preserve">Baby </w:t>
      </w:r>
      <w:r w:rsidR="003A3EB2">
        <w:rPr>
          <w:b/>
          <w:bCs/>
        </w:rPr>
        <w:t xml:space="preserve">Harry </w:t>
      </w:r>
    </w:p>
    <w:p w14:paraId="4BDFC582" w14:textId="06157555" w:rsidR="00933FA1" w:rsidRPr="00242D8A" w:rsidRDefault="00242D8A" w:rsidP="004D69A0">
      <w:pPr>
        <w:spacing w:after="0" w:line="240" w:lineRule="auto"/>
      </w:pPr>
      <w:r w:rsidRPr="00242D8A">
        <w:t xml:space="preserve">In February 2024 a six-month-old child, who for the purpose of </w:t>
      </w:r>
      <w:r>
        <w:t xml:space="preserve">our </w:t>
      </w:r>
      <w:r w:rsidR="00C42C8D">
        <w:t>CSPR was</w:t>
      </w:r>
      <w:r>
        <w:t xml:space="preserve"> known as </w:t>
      </w:r>
      <w:r w:rsidRPr="00242D8A">
        <w:t>Baby Harry, tragically died. Abuse and neglect were suspected, resulting in a Police investigation</w:t>
      </w:r>
      <w:r w:rsidR="00C42C8D">
        <w:t>.</w:t>
      </w:r>
    </w:p>
    <w:p w14:paraId="665FD1E1" w14:textId="77777777" w:rsidR="00B55196" w:rsidRDefault="00B55196" w:rsidP="004D69A0">
      <w:pPr>
        <w:spacing w:after="0" w:line="240" w:lineRule="auto"/>
        <w:rPr>
          <w:b/>
          <w:bCs/>
        </w:rPr>
      </w:pPr>
    </w:p>
    <w:tbl>
      <w:tblPr>
        <w:tblStyle w:val="TableGrid"/>
        <w:tblW w:w="0" w:type="auto"/>
        <w:tblLayout w:type="fixed"/>
        <w:tblLook w:val="04A0" w:firstRow="1" w:lastRow="0" w:firstColumn="1" w:lastColumn="0" w:noHBand="0" w:noVBand="1"/>
      </w:tblPr>
      <w:tblGrid>
        <w:gridCol w:w="4106"/>
        <w:gridCol w:w="3260"/>
        <w:gridCol w:w="6379"/>
      </w:tblGrid>
      <w:tr w:rsidR="00B55196" w:rsidRPr="003E5FC3" w14:paraId="0B407D88" w14:textId="77777777" w:rsidTr="00F45DB9">
        <w:tc>
          <w:tcPr>
            <w:tcW w:w="4106" w:type="dxa"/>
          </w:tcPr>
          <w:p w14:paraId="5A80E400" w14:textId="77777777" w:rsidR="00B55196" w:rsidRPr="003E5FC3" w:rsidRDefault="00B55196" w:rsidP="000375C3">
            <w:pPr>
              <w:rPr>
                <w:b/>
                <w:bCs/>
              </w:rPr>
            </w:pPr>
            <w:r w:rsidRPr="003E5FC3">
              <w:rPr>
                <w:b/>
                <w:bCs/>
              </w:rPr>
              <w:t>Recommendation</w:t>
            </w:r>
          </w:p>
        </w:tc>
        <w:tc>
          <w:tcPr>
            <w:tcW w:w="3260" w:type="dxa"/>
          </w:tcPr>
          <w:p w14:paraId="1DB7B0B0" w14:textId="77777777" w:rsidR="00B55196" w:rsidRPr="003E5FC3" w:rsidRDefault="00B55196" w:rsidP="000375C3">
            <w:pPr>
              <w:rPr>
                <w:b/>
                <w:bCs/>
              </w:rPr>
            </w:pPr>
            <w:r w:rsidRPr="003E5FC3">
              <w:rPr>
                <w:b/>
                <w:bCs/>
              </w:rPr>
              <w:t xml:space="preserve">Action </w:t>
            </w:r>
          </w:p>
        </w:tc>
        <w:tc>
          <w:tcPr>
            <w:tcW w:w="6379" w:type="dxa"/>
          </w:tcPr>
          <w:p w14:paraId="2B021DDD" w14:textId="77777777" w:rsidR="00B55196" w:rsidRPr="003E5FC3" w:rsidRDefault="00B55196" w:rsidP="000375C3">
            <w:pPr>
              <w:rPr>
                <w:b/>
                <w:bCs/>
              </w:rPr>
            </w:pPr>
            <w:r w:rsidRPr="003E5FC3">
              <w:rPr>
                <w:b/>
                <w:bCs/>
              </w:rPr>
              <w:t xml:space="preserve">Progress </w:t>
            </w:r>
          </w:p>
        </w:tc>
      </w:tr>
      <w:tr w:rsidR="00D67CE3" w:rsidRPr="003E5FC3" w14:paraId="4B2338CC" w14:textId="77777777" w:rsidTr="00F45DB9">
        <w:tc>
          <w:tcPr>
            <w:tcW w:w="4106" w:type="dxa"/>
            <w:tcBorders>
              <w:top w:val="single" w:sz="4" w:space="0" w:color="auto"/>
              <w:left w:val="single" w:sz="4" w:space="0" w:color="auto"/>
              <w:bottom w:val="single" w:sz="4" w:space="0" w:color="auto"/>
              <w:right w:val="single" w:sz="4" w:space="0" w:color="auto"/>
            </w:tcBorders>
          </w:tcPr>
          <w:p w14:paraId="08096A57" w14:textId="77777777" w:rsidR="00D67CE3" w:rsidRDefault="00D67CE3" w:rsidP="00D67CE3">
            <w:r w:rsidRPr="00D93B9D">
              <w:t xml:space="preserve">Individual agencies that have contributed to this review have each, where necessary, submitted their own learning and associated action plan as a result of recommendations they have identified themselves. </w:t>
            </w:r>
          </w:p>
          <w:p w14:paraId="39C9381D" w14:textId="77777777" w:rsidR="00D67CE3" w:rsidRPr="003E5FC3" w:rsidRDefault="00D67CE3" w:rsidP="00D67CE3">
            <w:pPr>
              <w:rPr>
                <w:b/>
                <w:bCs/>
              </w:rPr>
            </w:pPr>
          </w:p>
        </w:tc>
        <w:tc>
          <w:tcPr>
            <w:tcW w:w="3260" w:type="dxa"/>
            <w:tcBorders>
              <w:top w:val="single" w:sz="4" w:space="0" w:color="auto"/>
              <w:left w:val="single" w:sz="4" w:space="0" w:color="auto"/>
              <w:bottom w:val="single" w:sz="4" w:space="0" w:color="auto"/>
              <w:right w:val="single" w:sz="4" w:space="0" w:color="auto"/>
            </w:tcBorders>
          </w:tcPr>
          <w:p w14:paraId="777A741E" w14:textId="6C41320B" w:rsidR="00D67CE3" w:rsidRPr="003E5FC3" w:rsidRDefault="00D67CE3" w:rsidP="00D67CE3">
            <w:pPr>
              <w:rPr>
                <w:b/>
                <w:bCs/>
              </w:rPr>
            </w:pPr>
            <w:r w:rsidRPr="00D93B9D">
              <w:t xml:space="preserve">IMR Actions to be monitored </w:t>
            </w:r>
          </w:p>
        </w:tc>
        <w:tc>
          <w:tcPr>
            <w:tcW w:w="6379" w:type="dxa"/>
          </w:tcPr>
          <w:p w14:paraId="2FC59CF5" w14:textId="3768CB79" w:rsidR="00D67CE3" w:rsidRPr="00A83455" w:rsidRDefault="00A83455" w:rsidP="00D67CE3">
            <w:r w:rsidRPr="00A83455">
              <w:t>Action Plan developed and being monitored via the CBSCP Case Review Group</w:t>
            </w:r>
          </w:p>
        </w:tc>
      </w:tr>
      <w:tr w:rsidR="001614CB" w:rsidRPr="003E5FC3" w14:paraId="124C5948" w14:textId="77777777" w:rsidTr="00F45DB9">
        <w:tc>
          <w:tcPr>
            <w:tcW w:w="4106" w:type="dxa"/>
            <w:tcBorders>
              <w:top w:val="single" w:sz="4" w:space="0" w:color="auto"/>
              <w:left w:val="single" w:sz="4" w:space="0" w:color="auto"/>
              <w:bottom w:val="single" w:sz="4" w:space="0" w:color="auto"/>
              <w:right w:val="single" w:sz="4" w:space="0" w:color="auto"/>
            </w:tcBorders>
          </w:tcPr>
          <w:p w14:paraId="50E4F308" w14:textId="77777777" w:rsidR="001614CB" w:rsidRPr="00D93B9D" w:rsidRDefault="001614CB" w:rsidP="001614CB">
            <w:r w:rsidRPr="00D93B9D">
              <w:t>In respect of pre-birth assessment activity:</w:t>
            </w:r>
          </w:p>
          <w:p w14:paraId="7A4C5491" w14:textId="77777777" w:rsidR="001614CB" w:rsidRPr="00D93B9D" w:rsidRDefault="001614CB" w:rsidP="001614CB"/>
          <w:p w14:paraId="5D5536A2" w14:textId="77777777" w:rsidR="001614CB" w:rsidRPr="00D93B9D" w:rsidRDefault="001614CB" w:rsidP="00434E82">
            <w:pPr>
              <w:pStyle w:val="ListParagraph"/>
              <w:numPr>
                <w:ilvl w:val="0"/>
                <w:numId w:val="14"/>
              </w:numPr>
            </w:pPr>
            <w:r w:rsidRPr="00D93B9D">
              <w:t xml:space="preserve">The Partnership should continue to build on the recommendation (recommendation 5) recently made in the Daniel &amp; Sophie CSPR (March 2024) about promoting awareness about the Pan Bedfordshire Procedure and Guidance in relation to Pre-Birth Planning and Assessments. </w:t>
            </w:r>
          </w:p>
          <w:p w14:paraId="291DDDB6" w14:textId="77777777" w:rsidR="001614CB" w:rsidRPr="00D93B9D" w:rsidRDefault="001614CB" w:rsidP="001614CB"/>
          <w:p w14:paraId="79CF686E" w14:textId="77777777" w:rsidR="001614CB" w:rsidRPr="00D93B9D" w:rsidRDefault="001614CB" w:rsidP="00434E82">
            <w:pPr>
              <w:pStyle w:val="ListParagraph"/>
              <w:numPr>
                <w:ilvl w:val="0"/>
                <w:numId w:val="14"/>
              </w:numPr>
            </w:pPr>
            <w:r w:rsidRPr="00D93B9D">
              <w:lastRenderedPageBreak/>
              <w:t xml:space="preserve">The Pan Bedfordshire Procedure and Guidance in relation to Pre-Birth Planning and Assessments should be strengthened to include: </w:t>
            </w:r>
          </w:p>
          <w:p w14:paraId="24E63195" w14:textId="77777777" w:rsidR="001614CB" w:rsidRPr="00D93B9D" w:rsidRDefault="001614CB" w:rsidP="001614CB"/>
          <w:p w14:paraId="2E08F114" w14:textId="77777777" w:rsidR="001614CB" w:rsidRPr="00D93B9D" w:rsidRDefault="001614CB" w:rsidP="00434E82">
            <w:pPr>
              <w:pStyle w:val="ListParagraph"/>
              <w:numPr>
                <w:ilvl w:val="0"/>
                <w:numId w:val="15"/>
              </w:numPr>
            </w:pPr>
            <w:r w:rsidRPr="00D93B9D">
              <w:t xml:space="preserve">Greater reference to contingency planning and different scenarios where this may be applicable, </w:t>
            </w:r>
          </w:p>
          <w:p w14:paraId="28155ED7" w14:textId="77777777" w:rsidR="001614CB" w:rsidRPr="00D93B9D" w:rsidRDefault="001614CB" w:rsidP="001614CB"/>
          <w:p w14:paraId="56E41806" w14:textId="77777777" w:rsidR="001614CB" w:rsidRPr="00D93B9D" w:rsidRDefault="001614CB" w:rsidP="00434E82">
            <w:pPr>
              <w:pStyle w:val="ListParagraph"/>
              <w:numPr>
                <w:ilvl w:val="0"/>
                <w:numId w:val="15"/>
              </w:numPr>
            </w:pPr>
            <w:r w:rsidRPr="00D93B9D">
              <w:t xml:space="preserve">The need to share with relevant multi-agency partners the completed Pre-Birth Assessment report to aid multi-agency discussion, scrutiny and decision making, </w:t>
            </w:r>
          </w:p>
          <w:p w14:paraId="077A87AF" w14:textId="77777777" w:rsidR="001614CB" w:rsidRPr="00D93B9D" w:rsidRDefault="001614CB" w:rsidP="001614CB"/>
          <w:p w14:paraId="02B3EE77" w14:textId="77777777" w:rsidR="001614CB" w:rsidRPr="00D93B9D" w:rsidRDefault="001614CB" w:rsidP="00434E82">
            <w:pPr>
              <w:pStyle w:val="ListParagraph"/>
              <w:numPr>
                <w:ilvl w:val="0"/>
                <w:numId w:val="15"/>
              </w:numPr>
            </w:pPr>
            <w:r w:rsidRPr="00D93B9D">
              <w:t xml:space="preserve">The contributions to multi-agency assessment, information sharing and decision making of the Pre-Birth Tracking Meeting. </w:t>
            </w:r>
          </w:p>
          <w:p w14:paraId="4BCFECF3" w14:textId="77777777" w:rsidR="001614CB" w:rsidRPr="00D93B9D" w:rsidRDefault="001614CB" w:rsidP="001614CB"/>
          <w:p w14:paraId="02C1F615" w14:textId="77777777" w:rsidR="001614CB" w:rsidRDefault="001614CB" w:rsidP="00434E82">
            <w:pPr>
              <w:pStyle w:val="ListParagraph"/>
              <w:numPr>
                <w:ilvl w:val="0"/>
                <w:numId w:val="15"/>
              </w:numPr>
            </w:pPr>
            <w:r w:rsidRPr="00D93B9D">
              <w:t xml:space="preserve">Guidance (including procedural aspects that refer to continued responsibilities to safeguard and promote the welfare of children) regarding follow-up by the Children's </w:t>
            </w:r>
            <w:r w:rsidRPr="00D93B9D">
              <w:lastRenderedPageBreak/>
              <w:t>Centres where parents of newborns or children under two years of age, have been offered opportunities to attend for support, and these have not been followed through particularly when support is not accessed.</w:t>
            </w:r>
          </w:p>
          <w:p w14:paraId="06A6751F" w14:textId="77777777" w:rsidR="001614CB" w:rsidRPr="003E5FC3" w:rsidRDefault="001614CB" w:rsidP="001614CB">
            <w:pPr>
              <w:rPr>
                <w:b/>
                <w:bCs/>
              </w:rPr>
            </w:pPr>
          </w:p>
        </w:tc>
        <w:tc>
          <w:tcPr>
            <w:tcW w:w="3260" w:type="dxa"/>
          </w:tcPr>
          <w:p w14:paraId="532C6031" w14:textId="77777777" w:rsidR="00AB4665" w:rsidRPr="00AB4665" w:rsidRDefault="00AB4665" w:rsidP="00AB4665">
            <w:r w:rsidRPr="00AB4665">
              <w:lastRenderedPageBreak/>
              <w:t>Continued promotion/awareness of the Pre-Birth Protocol</w:t>
            </w:r>
          </w:p>
          <w:p w14:paraId="68732CB0" w14:textId="77777777" w:rsidR="00AB4665" w:rsidRPr="00AB4665" w:rsidRDefault="00AB4665" w:rsidP="00AB4665"/>
          <w:p w14:paraId="3AE7CC07" w14:textId="25864391" w:rsidR="001614CB" w:rsidRPr="003E5FC3" w:rsidRDefault="00AB4665" w:rsidP="00AB4665">
            <w:pPr>
              <w:rPr>
                <w:b/>
                <w:bCs/>
              </w:rPr>
            </w:pPr>
            <w:r w:rsidRPr="00AB4665">
              <w:t>Review of the Pre-Birth Protocol</w:t>
            </w:r>
          </w:p>
        </w:tc>
        <w:tc>
          <w:tcPr>
            <w:tcW w:w="6379" w:type="dxa"/>
          </w:tcPr>
          <w:p w14:paraId="3A989812" w14:textId="77777777" w:rsidR="001A00D9" w:rsidRDefault="00934247" w:rsidP="001614CB">
            <w:pPr>
              <w:rPr>
                <w:b/>
                <w:bCs/>
              </w:rPr>
            </w:pPr>
            <w:r w:rsidRPr="00934247">
              <w:t xml:space="preserve">The Pre-Birth Protocol and Assessments are promoted and signposted to within the Safeguarding Bedfordshire Training. They were also referenced within our CSPR webinars earlier in the year (they will continue to be referred to in future webinars as they are developed). Pre-birth assessment info shared in Jan </w:t>
            </w:r>
            <w:r w:rsidR="006F270D">
              <w:t xml:space="preserve">2025 </w:t>
            </w:r>
            <w:r w:rsidRPr="00934247">
              <w:t>and May</w:t>
            </w:r>
            <w:r w:rsidR="006F270D">
              <w:t xml:space="preserve"> 2025</w:t>
            </w:r>
            <w:r w:rsidRPr="00934247">
              <w:t xml:space="preserve"> </w:t>
            </w:r>
            <w:r w:rsidR="006F270D">
              <w:t xml:space="preserve">Safeguarding </w:t>
            </w:r>
            <w:r w:rsidR="001A00D9">
              <w:t xml:space="preserve">Befordfordshire </w:t>
            </w:r>
            <w:r w:rsidR="001A00D9" w:rsidRPr="00934247">
              <w:t>newsletter</w:t>
            </w:r>
            <w:r w:rsidRPr="00934247">
              <w:rPr>
                <w:b/>
                <w:bCs/>
              </w:rPr>
              <w:t>.</w:t>
            </w:r>
          </w:p>
          <w:p w14:paraId="4D4934AC" w14:textId="77777777" w:rsidR="001A00D9" w:rsidRDefault="001A00D9" w:rsidP="001614CB">
            <w:pPr>
              <w:rPr>
                <w:b/>
                <w:bCs/>
              </w:rPr>
            </w:pPr>
          </w:p>
          <w:p w14:paraId="408193F4" w14:textId="77777777" w:rsidR="001614CB" w:rsidRDefault="001A00D9" w:rsidP="001614CB">
            <w:r w:rsidRPr="001A00D9">
              <w:t>Pan Bedfordshire Pre-Birth Assessment Guidance has been reviewed and updated.</w:t>
            </w:r>
            <w:r w:rsidR="00934247" w:rsidRPr="001A00D9">
              <w:t xml:space="preserve">  </w:t>
            </w:r>
          </w:p>
          <w:p w14:paraId="4E544A61" w14:textId="77777777" w:rsidR="00667822" w:rsidRDefault="00667822" w:rsidP="001614CB"/>
          <w:p w14:paraId="22CCA5DC" w14:textId="77777777" w:rsidR="00667822" w:rsidRDefault="00667822" w:rsidP="001614CB">
            <w:r>
              <w:t>Additional Updates:</w:t>
            </w:r>
          </w:p>
          <w:p w14:paraId="46266021" w14:textId="77777777" w:rsidR="00343536" w:rsidRDefault="00343536" w:rsidP="001614CB"/>
          <w:p w14:paraId="303DF843" w14:textId="77777777" w:rsidR="00343536" w:rsidRDefault="00343536" w:rsidP="001614CB">
            <w:r>
              <w:t>ELFT:</w:t>
            </w:r>
          </w:p>
          <w:p w14:paraId="34BEB935" w14:textId="7B95A14F" w:rsidR="00343536" w:rsidRDefault="00343536" w:rsidP="00343536">
            <w:r>
              <w:lastRenderedPageBreak/>
              <w:t xml:space="preserve">The learning from Daniel and Sophie around Pre Birth </w:t>
            </w:r>
            <w:r w:rsidR="0083487D">
              <w:t>Assessment was</w:t>
            </w:r>
            <w:r>
              <w:t xml:space="preserve"> shared within L3 training and in Safeguarding supervision. </w:t>
            </w:r>
          </w:p>
          <w:p w14:paraId="13D3F66E" w14:textId="77777777" w:rsidR="00343536" w:rsidRDefault="00343536" w:rsidP="00343536"/>
          <w:p w14:paraId="45A19B13" w14:textId="57F8CC9F" w:rsidR="00343536" w:rsidRDefault="00343536" w:rsidP="00343536">
            <w:r>
              <w:t>The allocated Peri-natal Service professional is normally invited to be part of the Pre-Birth Assessment process and will take part in any safeguarding or relevant meetings if the patient is open to their service.</w:t>
            </w:r>
          </w:p>
          <w:p w14:paraId="63C6FBD2" w14:textId="77777777" w:rsidR="00343536" w:rsidRDefault="00343536" w:rsidP="00343536"/>
          <w:p w14:paraId="18DC6941" w14:textId="77777777" w:rsidR="00B52E9F" w:rsidRDefault="00343536" w:rsidP="00343536">
            <w:r>
              <w:t>C</w:t>
            </w:r>
            <w:r w:rsidR="00B52E9F">
              <w:t>hildren’s Social Care:</w:t>
            </w:r>
          </w:p>
          <w:p w14:paraId="698AF0FF" w14:textId="4C3E289D" w:rsidR="00343536" w:rsidRPr="001A00D9" w:rsidRDefault="00B52E9F" w:rsidP="00343536">
            <w:r>
              <w:t xml:space="preserve">Two </w:t>
            </w:r>
            <w:r w:rsidR="00343536">
              <w:t>audits have been completed of pre-births, improvements seen in curiosity and analysis. All children known to CSC have safety plans. Weekly single agency and multiagency scrutiny at the front door is now B</w:t>
            </w:r>
            <w:r w:rsidR="00835666">
              <w:t>usiness as usual</w:t>
            </w:r>
            <w:r w:rsidR="00343536">
              <w:t>. Sharpened the TOR for the pre-birth tracking meeting, attendance being monitored and chaired independently by Q</w:t>
            </w:r>
            <w:r w:rsidR="00835666">
              <w:t xml:space="preserve">uality </w:t>
            </w:r>
            <w:r w:rsidR="00343536">
              <w:t>A</w:t>
            </w:r>
            <w:r w:rsidR="00835666">
              <w:t>ssurance Team</w:t>
            </w:r>
            <w:r w:rsidR="00343536">
              <w:t>. Rolling programme of mandatory</w:t>
            </w:r>
            <w:r w:rsidR="00884BB8">
              <w:t xml:space="preserve"> </w:t>
            </w:r>
            <w:r w:rsidR="00884BB8" w:rsidRPr="00884BB8">
              <w:t>workshops and scrutiny activity is in the annual plan and B</w:t>
            </w:r>
            <w:r w:rsidR="00884BB8">
              <w:t xml:space="preserve">usiness as usual. </w:t>
            </w:r>
            <w:r w:rsidR="00884BB8" w:rsidRPr="00884BB8">
              <w:t>Process in place for all CSC 0-19 services to re-refer families back in if they do not go on to access services</w:t>
            </w:r>
            <w:r w:rsidR="00037167">
              <w:t>.</w:t>
            </w:r>
          </w:p>
        </w:tc>
      </w:tr>
      <w:tr w:rsidR="007D2F1A" w:rsidRPr="003E5FC3" w14:paraId="365BB2F6" w14:textId="77777777" w:rsidTr="00F45DB9">
        <w:tc>
          <w:tcPr>
            <w:tcW w:w="4106" w:type="dxa"/>
            <w:tcBorders>
              <w:top w:val="single" w:sz="4" w:space="0" w:color="auto"/>
              <w:left w:val="single" w:sz="4" w:space="0" w:color="auto"/>
              <w:bottom w:val="single" w:sz="4" w:space="0" w:color="auto"/>
              <w:right w:val="single" w:sz="4" w:space="0" w:color="auto"/>
            </w:tcBorders>
          </w:tcPr>
          <w:p w14:paraId="41C034E1" w14:textId="77777777" w:rsidR="007D2F1A" w:rsidRDefault="007D2F1A" w:rsidP="007D2F1A">
            <w:r>
              <w:lastRenderedPageBreak/>
              <w:t xml:space="preserve">A multi-agency protocol should be developed that supports the re-referral back to an appropriate agency, when parents who originally consented to seeking and engaging with additional support, fail to do so. </w:t>
            </w:r>
          </w:p>
          <w:p w14:paraId="0CBC7F71" w14:textId="77777777" w:rsidR="007D2F1A" w:rsidRPr="003E5FC3" w:rsidRDefault="007D2F1A" w:rsidP="007D2F1A">
            <w:pPr>
              <w:rPr>
                <w:b/>
                <w:bCs/>
              </w:rPr>
            </w:pPr>
          </w:p>
        </w:tc>
        <w:tc>
          <w:tcPr>
            <w:tcW w:w="3260" w:type="dxa"/>
            <w:tcBorders>
              <w:top w:val="single" w:sz="4" w:space="0" w:color="auto"/>
              <w:left w:val="single" w:sz="4" w:space="0" w:color="auto"/>
              <w:bottom w:val="single" w:sz="4" w:space="0" w:color="auto"/>
              <w:right w:val="single" w:sz="4" w:space="0" w:color="auto"/>
            </w:tcBorders>
          </w:tcPr>
          <w:p w14:paraId="3671BFFC" w14:textId="05B98205" w:rsidR="007D2F1A" w:rsidRPr="003E5FC3" w:rsidRDefault="007D2F1A" w:rsidP="007D2F1A">
            <w:pPr>
              <w:rPr>
                <w:b/>
                <w:bCs/>
              </w:rPr>
            </w:pPr>
            <w:r w:rsidRPr="00F90D9F">
              <w:t xml:space="preserve">Development of a multi-agency protocol </w:t>
            </w:r>
          </w:p>
        </w:tc>
        <w:tc>
          <w:tcPr>
            <w:tcW w:w="6379" w:type="dxa"/>
          </w:tcPr>
          <w:p w14:paraId="1CB73B47" w14:textId="77777777" w:rsidR="007D2F1A" w:rsidRPr="004D5C17" w:rsidRDefault="001043F0" w:rsidP="007D2F1A">
            <w:r w:rsidRPr="004D5C17">
              <w:t>This a</w:t>
            </w:r>
            <w:r w:rsidR="00AB02C1" w:rsidRPr="004D5C17">
              <w:t xml:space="preserve">dditional </w:t>
            </w:r>
            <w:r w:rsidR="00125633" w:rsidRPr="004D5C17">
              <w:t xml:space="preserve">multi-agency guidance has been developed and will be included within the Pan Bedfordshire </w:t>
            </w:r>
            <w:r w:rsidRPr="004D5C17">
              <w:t>processes.</w:t>
            </w:r>
          </w:p>
          <w:p w14:paraId="44D069BC" w14:textId="77777777" w:rsidR="002F173A" w:rsidRPr="004D5C17" w:rsidRDefault="002F173A" w:rsidP="007D2F1A"/>
          <w:p w14:paraId="371A8FD1" w14:textId="77777777" w:rsidR="002F173A" w:rsidRPr="004D5C17" w:rsidRDefault="002F173A" w:rsidP="007D2F1A">
            <w:r w:rsidRPr="004D5C17">
              <w:t>Ad</w:t>
            </w:r>
            <w:r w:rsidR="00BA4818" w:rsidRPr="004D5C17">
              <w:t>ditional Updates:</w:t>
            </w:r>
          </w:p>
          <w:p w14:paraId="7C3AE248" w14:textId="2045305E" w:rsidR="0008691D" w:rsidRPr="004D5C17" w:rsidRDefault="00916B7D" w:rsidP="0008691D">
            <w:r w:rsidRPr="004D5C17">
              <w:t>Cambridgeshire Community Services:</w:t>
            </w:r>
          </w:p>
          <w:p w14:paraId="7A07D033" w14:textId="709ADC8C" w:rsidR="0008691D" w:rsidRPr="004D5C17" w:rsidRDefault="0008691D" w:rsidP="0008691D">
            <w:r w:rsidRPr="004D5C17">
              <w:t>Message</w:t>
            </w:r>
            <w:r w:rsidR="001E08C0" w:rsidRPr="004D5C17">
              <w:t>s</w:t>
            </w:r>
            <w:r w:rsidRPr="004D5C17">
              <w:t xml:space="preserve"> shared with practitioners that if </w:t>
            </w:r>
            <w:r w:rsidR="00302123" w:rsidRPr="004D5C17">
              <w:t xml:space="preserve">an </w:t>
            </w:r>
            <w:r w:rsidRPr="004D5C17">
              <w:t xml:space="preserve">assessment has </w:t>
            </w:r>
            <w:r w:rsidR="00302123" w:rsidRPr="004D5C17">
              <w:t xml:space="preserve">recommended </w:t>
            </w:r>
            <w:r w:rsidRPr="004D5C17">
              <w:t>the family needs to engage with a health service and this does not happen</w:t>
            </w:r>
            <w:r w:rsidR="00584702" w:rsidRPr="004D5C17">
              <w:t>, then</w:t>
            </w:r>
            <w:r w:rsidRPr="004D5C17">
              <w:t xml:space="preserve"> this information should be shared back to the LA so they can consider the information as part of their previous assessment. </w:t>
            </w:r>
          </w:p>
          <w:p w14:paraId="18CB3209" w14:textId="77777777" w:rsidR="0008691D" w:rsidRPr="004D5C17" w:rsidRDefault="0008691D" w:rsidP="0008691D"/>
          <w:p w14:paraId="464B4056" w14:textId="6497D7F4" w:rsidR="0008691D" w:rsidRPr="004D5C17" w:rsidRDefault="0008691D" w:rsidP="0008691D">
            <w:r w:rsidRPr="004D5C17">
              <w:t>ELFT</w:t>
            </w:r>
            <w:r w:rsidR="00584702" w:rsidRPr="004D5C17">
              <w:t>:</w:t>
            </w:r>
          </w:p>
          <w:p w14:paraId="0E1803A4" w14:textId="18102863" w:rsidR="0008691D" w:rsidRPr="004D5C17" w:rsidRDefault="0008691D" w:rsidP="0008691D">
            <w:r w:rsidRPr="004D5C17">
              <w:t>If a patient</w:t>
            </w:r>
            <w:r w:rsidR="00584702" w:rsidRPr="004D5C17">
              <w:t xml:space="preserve"> is</w:t>
            </w:r>
            <w:r w:rsidRPr="004D5C17">
              <w:t xml:space="preserve"> open to the Perinatal team</w:t>
            </w:r>
            <w:r w:rsidR="00584702" w:rsidRPr="004D5C17">
              <w:t xml:space="preserve"> and</w:t>
            </w:r>
            <w:r w:rsidRPr="004D5C17">
              <w:t xml:space="preserve"> does not engage with the </w:t>
            </w:r>
            <w:r w:rsidR="00F15123" w:rsidRPr="004D5C17">
              <w:t>service,</w:t>
            </w:r>
            <w:r w:rsidRPr="004D5C17">
              <w:t xml:space="preserve"> this will be shared with the referrer as part of the Non –Engagement policy the team have in place. Any safeguarding concerns will be </w:t>
            </w:r>
            <w:r w:rsidR="00405B06" w:rsidRPr="004D5C17">
              <w:t>shared with children’s</w:t>
            </w:r>
            <w:r w:rsidRPr="004D5C17">
              <w:t xml:space="preserve"> social care</w:t>
            </w:r>
            <w:r w:rsidR="00405B06" w:rsidRPr="004D5C17">
              <w:t>.</w:t>
            </w:r>
          </w:p>
          <w:p w14:paraId="44DEE749" w14:textId="640FAD2C" w:rsidR="00405B06" w:rsidRPr="004D5C17" w:rsidRDefault="00405B06" w:rsidP="0008691D"/>
        </w:tc>
      </w:tr>
      <w:tr w:rsidR="0080396A" w:rsidRPr="003E5FC3" w14:paraId="2B18ABC9" w14:textId="77777777" w:rsidTr="00F45DB9">
        <w:tc>
          <w:tcPr>
            <w:tcW w:w="4106" w:type="dxa"/>
            <w:tcBorders>
              <w:top w:val="single" w:sz="4" w:space="0" w:color="auto"/>
              <w:left w:val="single" w:sz="4" w:space="0" w:color="auto"/>
              <w:bottom w:val="single" w:sz="4" w:space="0" w:color="auto"/>
              <w:right w:val="single" w:sz="4" w:space="0" w:color="auto"/>
            </w:tcBorders>
          </w:tcPr>
          <w:p w14:paraId="2391F850" w14:textId="77777777" w:rsidR="0080396A" w:rsidRDefault="0080396A" w:rsidP="0080396A">
            <w:r>
              <w:t xml:space="preserve">The Partnership should raise awareness and understanding about </w:t>
            </w:r>
            <w:r>
              <w:lastRenderedPageBreak/>
              <w:t>the Under 20’s Support Pathway with key agencies and professionals.</w:t>
            </w:r>
          </w:p>
          <w:p w14:paraId="0C9356E0" w14:textId="77777777" w:rsidR="0080396A" w:rsidRPr="003E5FC3" w:rsidRDefault="0080396A" w:rsidP="0080396A">
            <w:pPr>
              <w:rPr>
                <w:b/>
                <w:bCs/>
              </w:rPr>
            </w:pPr>
          </w:p>
        </w:tc>
        <w:tc>
          <w:tcPr>
            <w:tcW w:w="3260" w:type="dxa"/>
            <w:tcBorders>
              <w:top w:val="single" w:sz="4" w:space="0" w:color="auto"/>
              <w:left w:val="single" w:sz="4" w:space="0" w:color="auto"/>
              <w:bottom w:val="single" w:sz="4" w:space="0" w:color="auto"/>
              <w:right w:val="single" w:sz="4" w:space="0" w:color="auto"/>
            </w:tcBorders>
          </w:tcPr>
          <w:p w14:paraId="0B787811" w14:textId="31EFDAF9" w:rsidR="0080396A" w:rsidRPr="003E5FC3" w:rsidRDefault="0080396A" w:rsidP="0080396A">
            <w:pPr>
              <w:rPr>
                <w:b/>
                <w:bCs/>
              </w:rPr>
            </w:pPr>
            <w:r w:rsidRPr="00F90D9F">
              <w:lastRenderedPageBreak/>
              <w:t>Review and awareness of Under 20’s pathway</w:t>
            </w:r>
          </w:p>
        </w:tc>
        <w:tc>
          <w:tcPr>
            <w:tcW w:w="6379" w:type="dxa"/>
          </w:tcPr>
          <w:p w14:paraId="73A64622" w14:textId="065E3439" w:rsidR="004D5C17" w:rsidRPr="004D5C17" w:rsidRDefault="004D5C17" w:rsidP="004D5C17">
            <w:r w:rsidRPr="004D5C17">
              <w:t xml:space="preserve">Following the review the under 20’s pathway and processes have been reviewed between CBC Public Health, CBC Children’s Services, Bedfordshire Hospitals and </w:t>
            </w:r>
            <w:r w:rsidRPr="004D5C17">
              <w:lastRenderedPageBreak/>
              <w:t>Cambridgeshire Community Services – the pathway and process have been updated together, and all agencies are now clear on the pathway and processes. The pathway has also been uploaded to both the Bedfordshire Hospital intranet sites.</w:t>
            </w:r>
          </w:p>
          <w:p w14:paraId="4CDD6AD4" w14:textId="77777777" w:rsidR="004D5C17" w:rsidRPr="004D5C17" w:rsidRDefault="004D5C17" w:rsidP="004D5C17"/>
          <w:p w14:paraId="27A2C97E" w14:textId="6558372E" w:rsidR="0080396A" w:rsidRPr="004D5C17" w:rsidRDefault="004D5C17" w:rsidP="004D5C17">
            <w:r w:rsidRPr="004D5C17">
              <w:t>An audit as part of this CSPR showed that the pathway wasn’t being used in one of the Hospitals – suggest a follow up audit takes place in a few months’ time to confirm this action has had an impact.</w:t>
            </w:r>
          </w:p>
        </w:tc>
      </w:tr>
      <w:tr w:rsidR="0080396A" w:rsidRPr="003E5FC3" w14:paraId="00CFCC3D" w14:textId="77777777" w:rsidTr="00F45DB9">
        <w:tc>
          <w:tcPr>
            <w:tcW w:w="4106" w:type="dxa"/>
          </w:tcPr>
          <w:p w14:paraId="354D3014" w14:textId="77777777" w:rsidR="00697F88" w:rsidRPr="00697F88" w:rsidRDefault="00697F88" w:rsidP="00697F88">
            <w:r w:rsidRPr="00697F88">
              <w:lastRenderedPageBreak/>
              <w:t>In respect of Findings of Fact being used to safeguard all children:</w:t>
            </w:r>
          </w:p>
          <w:p w14:paraId="6D3A43B5" w14:textId="77777777" w:rsidR="00697F88" w:rsidRPr="00697F88" w:rsidRDefault="00697F88" w:rsidP="00697F88"/>
          <w:p w14:paraId="6F446BCA" w14:textId="680F7BED" w:rsidR="00697F88" w:rsidRPr="00697F88" w:rsidRDefault="00697F88" w:rsidP="00434E82">
            <w:pPr>
              <w:pStyle w:val="ListParagraph"/>
              <w:numPr>
                <w:ilvl w:val="0"/>
                <w:numId w:val="16"/>
              </w:numPr>
            </w:pPr>
            <w:r w:rsidRPr="00697F88">
              <w:t xml:space="preserve">The Child Safeguarding Practice Review Panel have highlighted in the response letter to the Partnership that they have regular contact with the Ministry of Justice and the President of the Family Division. Following discussion with the Child Safeguarding Practice Review Panel about this review and its findings, the Partnership should request the Child Safeguarding Practice Review Panel formally take this matter forward with both the Secretary of State for the Ministry of Justice and the President of the Family Division. </w:t>
            </w:r>
          </w:p>
          <w:p w14:paraId="2EE81A19" w14:textId="77777777" w:rsidR="00697F88" w:rsidRPr="00697F88" w:rsidRDefault="00697F88" w:rsidP="00697F88"/>
          <w:p w14:paraId="193DF259" w14:textId="79C8DEF2" w:rsidR="00697F88" w:rsidRPr="00697F88" w:rsidRDefault="00697F88" w:rsidP="00434E82">
            <w:pPr>
              <w:pStyle w:val="ListParagraph"/>
              <w:numPr>
                <w:ilvl w:val="0"/>
                <w:numId w:val="16"/>
              </w:numPr>
            </w:pPr>
            <w:r w:rsidRPr="00697F88">
              <w:t xml:space="preserve">The Partnership should also directly contact the Secretary of State for the Ministry of Justice and the President of the Family Division, advising them of the findings and recommendations of this review, and seek a response. </w:t>
            </w:r>
          </w:p>
          <w:p w14:paraId="7886FBD2" w14:textId="77777777" w:rsidR="00697F88" w:rsidRPr="00697F88" w:rsidRDefault="00697F88" w:rsidP="00697F88"/>
          <w:p w14:paraId="6D77B008" w14:textId="3CF34FCB" w:rsidR="00697F88" w:rsidRPr="00697F88" w:rsidRDefault="00697F88" w:rsidP="00434E82">
            <w:pPr>
              <w:pStyle w:val="ListParagraph"/>
              <w:numPr>
                <w:ilvl w:val="0"/>
                <w:numId w:val="16"/>
              </w:numPr>
            </w:pPr>
            <w:r w:rsidRPr="00697F88">
              <w:t>The following recommendations are offered as a potential remedy to the current situation:</w:t>
            </w:r>
          </w:p>
          <w:p w14:paraId="23A90FC7" w14:textId="77777777" w:rsidR="00697F88" w:rsidRPr="00697F88" w:rsidRDefault="00697F88" w:rsidP="00697F88"/>
          <w:p w14:paraId="27CF1C49" w14:textId="2E2AE285" w:rsidR="00697F88" w:rsidRPr="00697F88" w:rsidRDefault="00697F88" w:rsidP="00434E82">
            <w:pPr>
              <w:pStyle w:val="ListParagraph"/>
              <w:numPr>
                <w:ilvl w:val="0"/>
                <w:numId w:val="17"/>
              </w:numPr>
            </w:pPr>
            <w:r w:rsidRPr="00697F88">
              <w:t xml:space="preserve">Practice Direction 12G which supplements the Family Procedure Rules Part 12, notably the entry which refers to communication of information with a Police Officer for the purpose of a criminal investigation (third from last): this should be amended to reference information being shared with ‘Chief Officers of Police’, as defined under the Police Act 1996, and with the purpose of information being communicated ‘for the purpose of a criminal investigation’ but also extended to include ‘and for the purposes of </w:t>
            </w:r>
            <w:r w:rsidRPr="00697F88">
              <w:lastRenderedPageBreak/>
              <w:t xml:space="preserve">sharing information to promote public safety’.  Chief Officers of Police may then delegate the responsibility of this action to their Disclosure Units. </w:t>
            </w:r>
          </w:p>
          <w:p w14:paraId="181FC732" w14:textId="77777777" w:rsidR="00697F88" w:rsidRPr="00697F88" w:rsidRDefault="00697F88" w:rsidP="00697F88"/>
          <w:p w14:paraId="075A60BA" w14:textId="064820D2" w:rsidR="00697F88" w:rsidRPr="00697F88" w:rsidRDefault="00697F88" w:rsidP="00434E82">
            <w:pPr>
              <w:pStyle w:val="ListParagraph"/>
              <w:numPr>
                <w:ilvl w:val="0"/>
                <w:numId w:val="17"/>
              </w:numPr>
            </w:pPr>
            <w:r w:rsidRPr="00697F88">
              <w:t xml:space="preserve">Information from Findings of Fact made in Family Proceedings should be added to the Police National Computer (to become the National Law Enforcement Data Service) to allow any Police authority the ability to access relevant information on the same basis as the current Domestic Violence Disclosure Scheme (Clare’s Law) and the Child Sex Offender Disclosure Scheme (Sarah’s Law) operates. Information from Findings of Fact should then be shared using the same principle of ‘Right to ask – Right to know’. This principle allows Police to make disclosures using their own initiative about safety to other members of the public, which would include children. </w:t>
            </w:r>
          </w:p>
          <w:p w14:paraId="313D7F8F" w14:textId="77777777" w:rsidR="00697F88" w:rsidRPr="00697F88" w:rsidRDefault="00697F88" w:rsidP="00697F88"/>
          <w:p w14:paraId="2C81B93D" w14:textId="791CF24B" w:rsidR="0080396A" w:rsidRPr="00697F88" w:rsidRDefault="00697F88" w:rsidP="00434E82">
            <w:pPr>
              <w:pStyle w:val="ListParagraph"/>
              <w:numPr>
                <w:ilvl w:val="0"/>
                <w:numId w:val="17"/>
              </w:numPr>
            </w:pPr>
            <w:r w:rsidRPr="00697F88">
              <w:lastRenderedPageBreak/>
              <w:t xml:space="preserve">A formal response to the above recommendations should be shared back to the Partnership, by those it has been shared with i.e. the Child Safeguarding Practice Review Panel, the Secretary of State for the Ministry of Justice, and the President of the Family Division. If the decision is taken not to pursue the concept of sharing of Findings of Fact with the Police from Family Courts or not to strengthen Practice Direction 12G, the rationale should be provided to the Partnership to allow learning; this should be published alongside this report when it is also published. This will allow greater scrutiny and challenge given the likelihood of such a scenario, as outlined in this review, occurring again.  </w:t>
            </w:r>
          </w:p>
        </w:tc>
        <w:tc>
          <w:tcPr>
            <w:tcW w:w="3260" w:type="dxa"/>
          </w:tcPr>
          <w:p w14:paraId="07AC3420" w14:textId="1CE07E1F" w:rsidR="0080396A" w:rsidRPr="00EA75C8" w:rsidRDefault="00130660" w:rsidP="0080396A">
            <w:r w:rsidRPr="00EA75C8">
              <w:lastRenderedPageBreak/>
              <w:t xml:space="preserve">Liaise with National Panel </w:t>
            </w:r>
          </w:p>
        </w:tc>
        <w:tc>
          <w:tcPr>
            <w:tcW w:w="6379" w:type="dxa"/>
          </w:tcPr>
          <w:p w14:paraId="79A88BE1" w14:textId="77777777" w:rsidR="0080396A" w:rsidRDefault="00130660" w:rsidP="0080396A">
            <w:r w:rsidRPr="00130660">
              <w:t>Meeting held with representatives from the National Safeguarding Panel and letters sent to the President of the Family Division and Secretary of State.</w:t>
            </w:r>
          </w:p>
          <w:p w14:paraId="13F125BF" w14:textId="77777777" w:rsidR="003F35B5" w:rsidRDefault="003F35B5" w:rsidP="0080396A"/>
          <w:p w14:paraId="7E4F8667" w14:textId="2786D3FA" w:rsidR="003F35B5" w:rsidRDefault="003F35B5" w:rsidP="0080396A">
            <w:r>
              <w:t>Response:</w:t>
            </w:r>
          </w:p>
          <w:p w14:paraId="094623E6" w14:textId="079A8696" w:rsidR="003F35B5" w:rsidRDefault="003F35B5" w:rsidP="00A95EB4">
            <w:r>
              <w:t>The Government recognises the importance of ensuring that victims and survivors can obtain protective orders when this is the most appropriate measure, and that the police stand ready to monitor and enforce these orders. We’re considering how we can strengthen the protective order regime, including our manifesto commitment to strengthen how Stalking Protection Orders are used. We are also piloting the new Domestic Abuse Protection Orders.</w:t>
            </w:r>
          </w:p>
          <w:p w14:paraId="75A00B16" w14:textId="77777777" w:rsidR="00A95EB4" w:rsidRDefault="00A95EB4" w:rsidP="003F35B5"/>
          <w:p w14:paraId="19FF982E" w14:textId="7B73E924" w:rsidR="003F35B5" w:rsidRDefault="003F35B5" w:rsidP="003F35B5">
            <w:r>
              <w:t>However, we acknowledge there is currently a gap in the way that family courts share information</w:t>
            </w:r>
            <w:r w:rsidR="00A95EB4">
              <w:t xml:space="preserve"> </w:t>
            </w:r>
            <w:r>
              <w:t>about Non-Molestation Orders with the police. Together with the Home Office, the National</w:t>
            </w:r>
          </w:p>
          <w:p w14:paraId="3789A5C2" w14:textId="1A0E3017" w:rsidR="003F35B5" w:rsidRDefault="003F35B5" w:rsidP="003F35B5">
            <w:r>
              <w:t>Police Chiefs’ Council and His Majesty’s Courts and Tribunals Service, we have established a</w:t>
            </w:r>
            <w:r w:rsidR="00A95EB4">
              <w:t xml:space="preserve"> </w:t>
            </w:r>
            <w:r>
              <w:t xml:space="preserve">working group to </w:t>
            </w:r>
            <w:r>
              <w:lastRenderedPageBreak/>
              <w:t>consider how notification of orders from the courts to the police can be</w:t>
            </w:r>
            <w:r w:rsidR="00A95EB4">
              <w:t xml:space="preserve"> </w:t>
            </w:r>
            <w:r>
              <w:t>improved.</w:t>
            </w:r>
            <w:r w:rsidR="00A95EB4">
              <w:t xml:space="preserve"> </w:t>
            </w:r>
            <w:r>
              <w:t>We also have an ongoing workstream on disclosure with the Family Procedure Rule Committee,</w:t>
            </w:r>
            <w:r w:rsidR="00320CCA">
              <w:t xml:space="preserve"> </w:t>
            </w:r>
            <w:r>
              <w:t>focusing on Practice Directions 12B (Child Arrangements Programme) and 12J (Child</w:t>
            </w:r>
            <w:r w:rsidR="00320CCA">
              <w:t xml:space="preserve"> </w:t>
            </w:r>
            <w:r>
              <w:t>Arrangements and Contact Orders: Domestic Abuse and Harm), which the Committee will</w:t>
            </w:r>
          </w:p>
          <w:p w14:paraId="120F1F9D" w14:textId="77777777" w:rsidR="00320CCA" w:rsidRDefault="003F35B5" w:rsidP="003F35B5">
            <w:r>
              <w:t>consider over the next twelve months. I will ask my officials to consider whether this workstream</w:t>
            </w:r>
            <w:r w:rsidR="00320CCA">
              <w:t xml:space="preserve"> </w:t>
            </w:r>
            <w:r>
              <w:t>could be widened to incorporate the suggestions made in the Child</w:t>
            </w:r>
            <w:r w:rsidR="00320CCA">
              <w:t xml:space="preserve"> </w:t>
            </w:r>
            <w:r>
              <w:t>Safeguarding Practice</w:t>
            </w:r>
            <w:r w:rsidR="00320CCA">
              <w:t xml:space="preserve"> </w:t>
            </w:r>
            <w:r>
              <w:t xml:space="preserve">Review. </w:t>
            </w:r>
          </w:p>
          <w:p w14:paraId="51A4D0E1" w14:textId="77777777" w:rsidR="00320CCA" w:rsidRDefault="00320CCA" w:rsidP="003F35B5"/>
          <w:p w14:paraId="745876BB" w14:textId="6A194D64" w:rsidR="003F35B5" w:rsidRPr="00130660" w:rsidRDefault="003F35B5" w:rsidP="003F35B5">
            <w:r>
              <w:t>Please note that all of the Committee’s work is triaged, meaning that an item’s position</w:t>
            </w:r>
            <w:r w:rsidR="00A85395">
              <w:t xml:space="preserve"> </w:t>
            </w:r>
            <w:r>
              <w:t>on the workplan may change.</w:t>
            </w:r>
          </w:p>
        </w:tc>
      </w:tr>
    </w:tbl>
    <w:p w14:paraId="44312493" w14:textId="77777777" w:rsidR="00B55196" w:rsidRDefault="00B55196" w:rsidP="004D69A0">
      <w:pPr>
        <w:spacing w:after="0" w:line="240" w:lineRule="auto"/>
        <w:rPr>
          <w:b/>
          <w:bCs/>
        </w:rPr>
      </w:pPr>
    </w:p>
    <w:p w14:paraId="0C3893C3" w14:textId="015E589A" w:rsidR="00ED2E3E" w:rsidRDefault="00854946" w:rsidP="004D69A0">
      <w:pPr>
        <w:spacing w:after="0" w:line="240" w:lineRule="auto"/>
        <w:rPr>
          <w:b/>
          <w:bCs/>
        </w:rPr>
      </w:pPr>
      <w:r>
        <w:rPr>
          <w:b/>
          <w:bCs/>
        </w:rPr>
        <w:t xml:space="preserve">Case 3 – </w:t>
      </w:r>
      <w:r w:rsidR="00ED2E3E">
        <w:rPr>
          <w:b/>
          <w:bCs/>
        </w:rPr>
        <w:t>Child A</w:t>
      </w:r>
    </w:p>
    <w:p w14:paraId="285982EC" w14:textId="76BFB621" w:rsidR="00357B8B" w:rsidRDefault="008D4C6A" w:rsidP="004D69A0">
      <w:pPr>
        <w:spacing w:after="0" w:line="240" w:lineRule="auto"/>
      </w:pPr>
      <w:r w:rsidRPr="00553B4C">
        <w:t>A Rapid Review was completed for Case number 3 which related to t</w:t>
      </w:r>
      <w:r w:rsidR="00357B8B" w:rsidRPr="00553B4C">
        <w:t xml:space="preserve">wo children who were aged </w:t>
      </w:r>
      <w:r w:rsidR="00D22451" w:rsidRPr="00553B4C">
        <w:t>10 and</w:t>
      </w:r>
      <w:r w:rsidR="00357B8B" w:rsidRPr="00553B4C">
        <w:t xml:space="preserve"> 12 years old </w:t>
      </w:r>
      <w:r w:rsidRPr="00553B4C">
        <w:t xml:space="preserve">and </w:t>
      </w:r>
      <w:r w:rsidR="00357B8B" w:rsidRPr="00553B4C">
        <w:t>living with their mother</w:t>
      </w:r>
      <w:r w:rsidRPr="00553B4C">
        <w:t xml:space="preserve"> and </w:t>
      </w:r>
      <w:r w:rsidR="00CB79D4">
        <w:t>s</w:t>
      </w:r>
      <w:r w:rsidRPr="00553B4C">
        <w:t xml:space="preserve">tepfather. </w:t>
      </w:r>
      <w:r w:rsidR="00D22451" w:rsidRPr="00553B4C">
        <w:t xml:space="preserve">The children were </w:t>
      </w:r>
      <w:r w:rsidR="00357B8B" w:rsidRPr="00553B4C">
        <w:t>vulnerable</w:t>
      </w:r>
      <w:r w:rsidR="00D22451" w:rsidRPr="00553B4C">
        <w:t xml:space="preserve"> with the family being </w:t>
      </w:r>
      <w:r w:rsidR="00357B8B" w:rsidRPr="00553B4C">
        <w:t>known to services for several years.</w:t>
      </w:r>
      <w:r w:rsidR="00D22451" w:rsidRPr="00553B4C">
        <w:t xml:space="preserve"> </w:t>
      </w:r>
      <w:r w:rsidR="00553B4C" w:rsidRPr="00553B4C">
        <w:t>One of the children was sexually abused by their Stepfather who was already known to be sex offender.</w:t>
      </w:r>
    </w:p>
    <w:p w14:paraId="59D8958D" w14:textId="77777777" w:rsidR="001514B4" w:rsidRPr="00553B4C" w:rsidRDefault="001514B4" w:rsidP="004D69A0">
      <w:pPr>
        <w:spacing w:after="0" w:line="240" w:lineRule="auto"/>
      </w:pPr>
    </w:p>
    <w:tbl>
      <w:tblPr>
        <w:tblStyle w:val="TableGrid"/>
        <w:tblW w:w="0" w:type="auto"/>
        <w:tblLayout w:type="fixed"/>
        <w:tblLook w:val="04A0" w:firstRow="1" w:lastRow="0" w:firstColumn="1" w:lastColumn="0" w:noHBand="0" w:noVBand="1"/>
      </w:tblPr>
      <w:tblGrid>
        <w:gridCol w:w="4106"/>
        <w:gridCol w:w="3119"/>
        <w:gridCol w:w="6520"/>
      </w:tblGrid>
      <w:tr w:rsidR="001514B4" w:rsidRPr="003E5FC3" w14:paraId="21CDE280" w14:textId="77777777" w:rsidTr="00F45DB9">
        <w:tc>
          <w:tcPr>
            <w:tcW w:w="4106" w:type="dxa"/>
          </w:tcPr>
          <w:p w14:paraId="17660CE9" w14:textId="77777777" w:rsidR="001514B4" w:rsidRPr="003E5FC3" w:rsidRDefault="001514B4" w:rsidP="00323CD5">
            <w:pPr>
              <w:rPr>
                <w:b/>
                <w:bCs/>
              </w:rPr>
            </w:pPr>
            <w:r w:rsidRPr="003E5FC3">
              <w:rPr>
                <w:b/>
                <w:bCs/>
              </w:rPr>
              <w:t>Recommendation</w:t>
            </w:r>
          </w:p>
        </w:tc>
        <w:tc>
          <w:tcPr>
            <w:tcW w:w="3119" w:type="dxa"/>
          </w:tcPr>
          <w:p w14:paraId="4109FCAB" w14:textId="77777777" w:rsidR="001514B4" w:rsidRPr="003E5FC3" w:rsidRDefault="001514B4" w:rsidP="00323CD5">
            <w:pPr>
              <w:rPr>
                <w:b/>
                <w:bCs/>
              </w:rPr>
            </w:pPr>
            <w:r w:rsidRPr="003E5FC3">
              <w:rPr>
                <w:b/>
                <w:bCs/>
              </w:rPr>
              <w:t xml:space="preserve">Action </w:t>
            </w:r>
          </w:p>
        </w:tc>
        <w:tc>
          <w:tcPr>
            <w:tcW w:w="6520" w:type="dxa"/>
          </w:tcPr>
          <w:p w14:paraId="372F048A" w14:textId="77777777" w:rsidR="001514B4" w:rsidRPr="003E5FC3" w:rsidRDefault="001514B4" w:rsidP="00323CD5">
            <w:pPr>
              <w:rPr>
                <w:b/>
                <w:bCs/>
              </w:rPr>
            </w:pPr>
            <w:r w:rsidRPr="003E5FC3">
              <w:rPr>
                <w:b/>
                <w:bCs/>
              </w:rPr>
              <w:t xml:space="preserve">Progress </w:t>
            </w:r>
          </w:p>
        </w:tc>
      </w:tr>
      <w:tr w:rsidR="001514B4" w:rsidRPr="003E5FC3" w14:paraId="17EA63C7" w14:textId="77777777" w:rsidTr="00F45DB9">
        <w:tc>
          <w:tcPr>
            <w:tcW w:w="4106" w:type="dxa"/>
          </w:tcPr>
          <w:p w14:paraId="3859E484" w14:textId="77777777" w:rsidR="005830B5" w:rsidRDefault="005830B5" w:rsidP="00323CD5">
            <w:r w:rsidRPr="005830B5">
              <w:lastRenderedPageBreak/>
              <w:t>The family were known to services since 2013 due to neglect concerns, this issue has been on-going but at no point has the Graded Care Profile been considered or completed.</w:t>
            </w:r>
          </w:p>
          <w:p w14:paraId="054F845F" w14:textId="77777777" w:rsidR="005830B5" w:rsidRDefault="005830B5" w:rsidP="00323CD5"/>
          <w:p w14:paraId="35C50F40" w14:textId="6BA07258" w:rsidR="001514B4" w:rsidRPr="005830B5" w:rsidRDefault="005830B5" w:rsidP="00323CD5">
            <w:r w:rsidRPr="005830B5">
              <w:t>This is an on-going issue within Central Bedfordshire that we are currently trying to address through awareness raising, more guidance, training and seeking further commitment from our partners, which will continue.</w:t>
            </w:r>
          </w:p>
        </w:tc>
        <w:tc>
          <w:tcPr>
            <w:tcW w:w="3119" w:type="dxa"/>
          </w:tcPr>
          <w:p w14:paraId="63E6DD58" w14:textId="48447AC1" w:rsidR="001514B4" w:rsidRPr="00523C50" w:rsidRDefault="00CA05FA" w:rsidP="00323CD5">
            <w:r w:rsidRPr="00523C50">
              <w:t>Continue to raise awareness of the GCP2 and encourage it’s use through the Pan Beds Neglect Group</w:t>
            </w:r>
          </w:p>
        </w:tc>
        <w:tc>
          <w:tcPr>
            <w:tcW w:w="6520" w:type="dxa"/>
          </w:tcPr>
          <w:p w14:paraId="3444317A" w14:textId="77777777" w:rsidR="001514B4" w:rsidRDefault="00523C50" w:rsidP="00323CD5">
            <w:r w:rsidRPr="00523C50">
              <w:t>The use of Graded Care Profile was promoted at the Pan Bedfordshire Neglect Conference and continues to be promoted within our training offer and webinars and at other forums such as the DSL forums. Additional GCP2 Trainers have been trained to ensure that GCP2 training continues to be offered as much as possible. Guidance tools and flowcharts have been produced and are available on the Safeguarding Bedfordshire website and the use of the GCP2 is an on-going standing item discussion at the Pan Beds Neglect Sub-group. The number of GCP2’s completed broken down by agencies continues to be monitored through the Pan Bedfordshire Neglect Group and the Central Bedfordshire Performance Group.</w:t>
            </w:r>
          </w:p>
          <w:p w14:paraId="6F2BAA8B" w14:textId="77777777" w:rsidR="00F044F0" w:rsidRDefault="00F044F0" w:rsidP="00323CD5"/>
          <w:p w14:paraId="574127F2" w14:textId="2466CCDF" w:rsidR="00F044F0" w:rsidRDefault="00F044F0" w:rsidP="00323CD5">
            <w:r>
              <w:t>Additional updates:</w:t>
            </w:r>
          </w:p>
          <w:p w14:paraId="03F978CE" w14:textId="020D1BCD" w:rsidR="00F044F0" w:rsidRDefault="00F044F0" w:rsidP="00323CD5">
            <w:r>
              <w:t xml:space="preserve">Cambridgeshire Community Services </w:t>
            </w:r>
            <w:r w:rsidR="00B66B73">
              <w:t>–</w:t>
            </w:r>
            <w:r>
              <w:t xml:space="preserve"> </w:t>
            </w:r>
            <w:r w:rsidR="00B66B73">
              <w:t xml:space="preserve">The GCP tab </w:t>
            </w:r>
            <w:r w:rsidR="00296048">
              <w:t>on SystmOne</w:t>
            </w:r>
            <w:r w:rsidR="00B66B73">
              <w:t xml:space="preserve"> has now been updated to a neglect tab </w:t>
            </w:r>
            <w:r w:rsidR="00C864F3">
              <w:t xml:space="preserve">to help </w:t>
            </w:r>
            <w:r w:rsidR="00B66B73" w:rsidRPr="00B66B73">
              <w:t>support signpost</w:t>
            </w:r>
            <w:r w:rsidR="00C864F3">
              <w:t>ing</w:t>
            </w:r>
            <w:r w:rsidR="00B66B73" w:rsidRPr="00B66B73">
              <w:t xml:space="preserve"> practitioners to use the GCP2 as a neglect risk assessment as well as other tools e.g. the neglect screening tool, obesity screening tool and clutter score</w:t>
            </w:r>
            <w:r w:rsidR="00C864F3">
              <w:t>.</w:t>
            </w:r>
          </w:p>
          <w:p w14:paraId="268F41F1" w14:textId="77777777" w:rsidR="00C864F3" w:rsidRDefault="00C864F3" w:rsidP="00323CD5"/>
          <w:p w14:paraId="4585BA5A" w14:textId="55116187" w:rsidR="00C864F3" w:rsidRDefault="000F5294" w:rsidP="00323CD5">
            <w:r>
              <w:t>Children’s Social Care</w:t>
            </w:r>
            <w:r w:rsidR="00663794">
              <w:t>:</w:t>
            </w:r>
          </w:p>
          <w:p w14:paraId="60B47702" w14:textId="29FDA9CB" w:rsidR="00663794" w:rsidRDefault="00663794" w:rsidP="00323CD5">
            <w:r>
              <w:t>Several Audits were completed</w:t>
            </w:r>
            <w:r w:rsidR="00154EFD">
              <w:t xml:space="preserve">, although the initial audit in </w:t>
            </w:r>
            <w:r w:rsidR="0098196F">
              <w:t>July</w:t>
            </w:r>
            <w:r w:rsidR="00FA7331">
              <w:t xml:space="preserve"> 2024 indicated numbers completed were low and the </w:t>
            </w:r>
            <w:r w:rsidR="0098196F">
              <w:t>effectiveness was unclear, a follow up</w:t>
            </w:r>
            <w:r w:rsidR="0030297D">
              <w:t xml:space="preserve"> multi-agency</w:t>
            </w:r>
            <w:r w:rsidR="0098196F">
              <w:t xml:space="preserve"> audit in </w:t>
            </w:r>
            <w:r w:rsidR="00B25019">
              <w:t>February 2025 showed practice had improved.</w:t>
            </w:r>
          </w:p>
          <w:p w14:paraId="244FDA33" w14:textId="77777777" w:rsidR="00070DD4" w:rsidRDefault="00070DD4" w:rsidP="00323CD5"/>
          <w:p w14:paraId="1313DAD0" w14:textId="37901FF8" w:rsidR="00070DD4" w:rsidRDefault="00070DD4" w:rsidP="00323CD5">
            <w:r>
              <w:t xml:space="preserve">Training in relation to neglect is available </w:t>
            </w:r>
            <w:r w:rsidR="003B3122">
              <w:t>through Safeguarding Bedfordshire.</w:t>
            </w:r>
          </w:p>
          <w:p w14:paraId="2AC663AB" w14:textId="59325DDE" w:rsidR="00815750" w:rsidRPr="00523C50" w:rsidRDefault="00815750" w:rsidP="00323CD5"/>
        </w:tc>
      </w:tr>
      <w:tr w:rsidR="001514B4" w:rsidRPr="003E5FC3" w14:paraId="6F40791E" w14:textId="77777777" w:rsidTr="00F45DB9">
        <w:tc>
          <w:tcPr>
            <w:tcW w:w="4106" w:type="dxa"/>
          </w:tcPr>
          <w:p w14:paraId="09A468A6" w14:textId="77777777" w:rsidR="001514B4" w:rsidRPr="008E48B4" w:rsidRDefault="001941AC" w:rsidP="00323CD5">
            <w:pPr>
              <w:rPr>
                <w:bCs/>
              </w:rPr>
            </w:pPr>
            <w:r w:rsidRPr="008E48B4">
              <w:rPr>
                <w:bCs/>
              </w:rPr>
              <w:lastRenderedPageBreak/>
              <w:t>Child Protection Medicals – Although there were concerns around neglect and also concerns around K having UTI’s, incontinence and bed wetting, neither neglect nor sexual child protection medicals were considered or took place. Awareness around the use of child protection medicals will continue.</w:t>
            </w:r>
          </w:p>
          <w:p w14:paraId="15597098" w14:textId="499670F2" w:rsidR="003760DC" w:rsidRPr="008E48B4" w:rsidRDefault="003760DC" w:rsidP="00323CD5">
            <w:pPr>
              <w:rPr>
                <w:bCs/>
              </w:rPr>
            </w:pPr>
          </w:p>
        </w:tc>
        <w:tc>
          <w:tcPr>
            <w:tcW w:w="3119" w:type="dxa"/>
          </w:tcPr>
          <w:p w14:paraId="23413137" w14:textId="29FBB814" w:rsidR="001514B4" w:rsidRPr="003E7B72" w:rsidRDefault="003E7B72" w:rsidP="00323CD5">
            <w:r w:rsidRPr="003E7B72">
              <w:t>Continue to raise awareness of the use of Child Protection Medicals</w:t>
            </w:r>
          </w:p>
        </w:tc>
        <w:tc>
          <w:tcPr>
            <w:tcW w:w="6520" w:type="dxa"/>
          </w:tcPr>
          <w:p w14:paraId="59BDCE32" w14:textId="2D87E085" w:rsidR="00775C2D" w:rsidRDefault="00775C2D" w:rsidP="00323CD5">
            <w:r>
              <w:t xml:space="preserve">This learning was shared amongst partners including via a </w:t>
            </w:r>
            <w:r w:rsidR="00292EC3">
              <w:t>7-minute</w:t>
            </w:r>
            <w:r>
              <w:t xml:space="preserve"> briefing.</w:t>
            </w:r>
            <w:r w:rsidR="00292EC3">
              <w:t xml:space="preserve"> Information to provide child protection medicals </w:t>
            </w:r>
            <w:r w:rsidR="00933A96">
              <w:t>is also included within our safeguarding training packages.</w:t>
            </w:r>
            <w:r w:rsidR="00DD7D9E">
              <w:t xml:space="preserve"> Learning was also shared in the </w:t>
            </w:r>
            <w:r w:rsidR="00896D4E">
              <w:t>Safeguarding Bedfordshire Newsletter.</w:t>
            </w:r>
          </w:p>
          <w:p w14:paraId="40BD211A" w14:textId="77777777" w:rsidR="00775C2D" w:rsidRDefault="00775C2D" w:rsidP="00323CD5"/>
          <w:p w14:paraId="259158E6" w14:textId="7E1B25D1" w:rsidR="00292EC3" w:rsidRDefault="00292EC3" w:rsidP="00323CD5">
            <w:r>
              <w:t>Additional updates:</w:t>
            </w:r>
          </w:p>
          <w:p w14:paraId="25BA9D93" w14:textId="619C357F" w:rsidR="00284350" w:rsidRPr="00194585" w:rsidRDefault="00284350" w:rsidP="00323CD5">
            <w:r w:rsidRPr="00194585">
              <w:t>Cambridgeshire Community Services:</w:t>
            </w:r>
          </w:p>
          <w:p w14:paraId="3644D2E5" w14:textId="77777777" w:rsidR="001514B4" w:rsidRDefault="003E7B72" w:rsidP="00323CD5">
            <w:r w:rsidRPr="00194585">
              <w:t xml:space="preserve">CCS has a L3 Neglect training package </w:t>
            </w:r>
            <w:r w:rsidR="00284350" w:rsidRPr="00194585">
              <w:t>and</w:t>
            </w:r>
            <w:r w:rsidRPr="00194585">
              <w:t xml:space="preserve"> within this package neglect medicals are discussed as a tool available to support identification of neglect and of care planning.</w:t>
            </w:r>
          </w:p>
          <w:p w14:paraId="132456E9" w14:textId="77777777" w:rsidR="000C70FE" w:rsidRDefault="000C70FE" w:rsidP="00323CD5"/>
          <w:p w14:paraId="2DB6E31D" w14:textId="77777777" w:rsidR="000C70FE" w:rsidRDefault="000C70FE" w:rsidP="00323CD5">
            <w:r>
              <w:t>Children’s Social Care:</w:t>
            </w:r>
          </w:p>
          <w:p w14:paraId="0B3DC996" w14:textId="77777777" w:rsidR="000C70FE" w:rsidRDefault="000C70FE" w:rsidP="00323CD5">
            <w:r w:rsidRPr="000C70FE">
              <w:t>In September 2024 a reflective session took place with GPs to consider the threshold, intervention and appropriateness for CP medicals.</w:t>
            </w:r>
          </w:p>
          <w:p w14:paraId="1709D516" w14:textId="6630F9BE" w:rsidR="00933A96" w:rsidRPr="000C70FE" w:rsidRDefault="00933A96" w:rsidP="00323CD5"/>
        </w:tc>
      </w:tr>
      <w:tr w:rsidR="001514B4" w:rsidRPr="003E5FC3" w14:paraId="0B889DDC" w14:textId="77777777" w:rsidTr="00F45DB9">
        <w:tc>
          <w:tcPr>
            <w:tcW w:w="4106" w:type="dxa"/>
          </w:tcPr>
          <w:p w14:paraId="2C4AB847" w14:textId="77777777" w:rsidR="001514B4" w:rsidRPr="00481CF0" w:rsidRDefault="008E48B4" w:rsidP="00481CF0">
            <w:pPr>
              <w:rPr>
                <w:bCs/>
              </w:rPr>
            </w:pPr>
            <w:r w:rsidRPr="00481CF0">
              <w:rPr>
                <w:bCs/>
              </w:rPr>
              <w:t>Engagement of Fathers – Both the children’s biological fathers had contact with them, but the multi-agency professionals involved didn’t consider who was in their protective networks and the fathers were included less and less as time went on.</w:t>
            </w:r>
          </w:p>
          <w:p w14:paraId="58AE8AF5" w14:textId="3586D710" w:rsidR="00B95C25" w:rsidRPr="00481CF0" w:rsidRDefault="00B95C25" w:rsidP="00481CF0">
            <w:pPr>
              <w:rPr>
                <w:bCs/>
              </w:rPr>
            </w:pPr>
          </w:p>
        </w:tc>
        <w:tc>
          <w:tcPr>
            <w:tcW w:w="3119" w:type="dxa"/>
          </w:tcPr>
          <w:p w14:paraId="3B15B085" w14:textId="34C6331D" w:rsidR="001514B4" w:rsidRPr="000A0D91" w:rsidRDefault="000A0D91" w:rsidP="00323CD5">
            <w:r w:rsidRPr="000A0D91">
              <w:t>Learning to be shared widely amongst partner agencies and professionals</w:t>
            </w:r>
          </w:p>
        </w:tc>
        <w:tc>
          <w:tcPr>
            <w:tcW w:w="6520" w:type="dxa"/>
          </w:tcPr>
          <w:p w14:paraId="03AED8B9" w14:textId="55894A9F" w:rsidR="00896D4E" w:rsidRPr="00211998" w:rsidRDefault="00896D4E" w:rsidP="00896D4E">
            <w:pPr>
              <w:rPr>
                <w:bCs/>
              </w:rPr>
            </w:pPr>
            <w:r w:rsidRPr="00211998">
              <w:rPr>
                <w:bCs/>
              </w:rPr>
              <w:t>This learning was shared amongst partners including via a 7-minute briefing. Information regarding the engagement of fathers and wider networks is also included within our safeguarding training packages. Learning was also shared in the Safeguarding Bedfordshire Newsletter.</w:t>
            </w:r>
          </w:p>
          <w:p w14:paraId="47B0BB08" w14:textId="77777777" w:rsidR="001D382E" w:rsidRPr="00211998" w:rsidRDefault="001D382E" w:rsidP="00C5358F">
            <w:pPr>
              <w:rPr>
                <w:bCs/>
              </w:rPr>
            </w:pPr>
          </w:p>
          <w:p w14:paraId="4C063545" w14:textId="40D9505B" w:rsidR="001D382E" w:rsidRPr="00211998" w:rsidRDefault="001D382E" w:rsidP="00C5358F">
            <w:pPr>
              <w:rPr>
                <w:bCs/>
              </w:rPr>
            </w:pPr>
            <w:r w:rsidRPr="00211998">
              <w:rPr>
                <w:bCs/>
              </w:rPr>
              <w:t>Additional updates:</w:t>
            </w:r>
          </w:p>
          <w:p w14:paraId="339D11AB" w14:textId="1C36F835" w:rsidR="00406003" w:rsidRPr="00211998" w:rsidRDefault="00406003" w:rsidP="00C5358F">
            <w:pPr>
              <w:rPr>
                <w:bCs/>
              </w:rPr>
            </w:pPr>
            <w:r w:rsidRPr="00211998">
              <w:rPr>
                <w:bCs/>
              </w:rPr>
              <w:t>Children’s Social Care:</w:t>
            </w:r>
          </w:p>
          <w:p w14:paraId="2105D280" w14:textId="55C7725A" w:rsidR="00406003" w:rsidRPr="00211998" w:rsidRDefault="00406003" w:rsidP="00C5358F">
            <w:pPr>
              <w:rPr>
                <w:bCs/>
              </w:rPr>
            </w:pPr>
            <w:r w:rsidRPr="00211998">
              <w:rPr>
                <w:bCs/>
              </w:rPr>
              <w:t>Family networking and think family approach is Business as usual</w:t>
            </w:r>
            <w:r w:rsidR="00DB16C1" w:rsidRPr="00211998">
              <w:rPr>
                <w:bCs/>
              </w:rPr>
              <w:t xml:space="preserve"> along with the </w:t>
            </w:r>
            <w:r w:rsidRPr="00211998">
              <w:rPr>
                <w:bCs/>
              </w:rPr>
              <w:t xml:space="preserve">promotion to complete cultural genograms for all children to further understand their networks. </w:t>
            </w:r>
            <w:r w:rsidR="008D2442" w:rsidRPr="00211998">
              <w:rPr>
                <w:bCs/>
              </w:rPr>
              <w:t xml:space="preserve">There are also </w:t>
            </w:r>
            <w:r w:rsidR="00A714F4" w:rsidRPr="00211998">
              <w:rPr>
                <w:bCs/>
              </w:rPr>
              <w:t>regular mandatory workshops.</w:t>
            </w:r>
          </w:p>
          <w:p w14:paraId="6A42610A" w14:textId="77777777" w:rsidR="00A714F4" w:rsidRPr="00211998" w:rsidRDefault="00A714F4" w:rsidP="00406003">
            <w:pPr>
              <w:rPr>
                <w:bCs/>
              </w:rPr>
            </w:pPr>
          </w:p>
          <w:p w14:paraId="623D4F7C" w14:textId="30FD315D" w:rsidR="00A714F4" w:rsidRPr="00211998" w:rsidRDefault="00A714F4" w:rsidP="00406003">
            <w:pPr>
              <w:rPr>
                <w:bCs/>
              </w:rPr>
            </w:pPr>
            <w:r w:rsidRPr="00211998">
              <w:rPr>
                <w:bCs/>
              </w:rPr>
              <w:t xml:space="preserve">Cambridgeshire Community </w:t>
            </w:r>
            <w:r w:rsidR="00063AE9" w:rsidRPr="00211998">
              <w:rPr>
                <w:bCs/>
              </w:rPr>
              <w:t>Services:</w:t>
            </w:r>
          </w:p>
          <w:p w14:paraId="19E80B2D" w14:textId="77777777" w:rsidR="004769EF" w:rsidRPr="00211998" w:rsidRDefault="004769EF" w:rsidP="004769EF">
            <w:pPr>
              <w:rPr>
                <w:bCs/>
              </w:rPr>
            </w:pPr>
            <w:r w:rsidRPr="00211998">
              <w:rPr>
                <w:bCs/>
              </w:rPr>
              <w:t>Learning forums took place in July and September 2024, and they included a presentation on opening records, how to do this, what policies support this and why it is important. A shortened version was then delivered to locality staff.</w:t>
            </w:r>
          </w:p>
          <w:p w14:paraId="76018FB1" w14:textId="77777777" w:rsidR="004769EF" w:rsidRPr="00211998" w:rsidRDefault="004769EF" w:rsidP="004769EF">
            <w:pPr>
              <w:rPr>
                <w:bCs/>
              </w:rPr>
            </w:pPr>
          </w:p>
          <w:p w14:paraId="77692B73" w14:textId="34F26B0B" w:rsidR="00406003" w:rsidRPr="00211998" w:rsidRDefault="004769EF" w:rsidP="004769EF">
            <w:pPr>
              <w:rPr>
                <w:bCs/>
              </w:rPr>
            </w:pPr>
            <w:r w:rsidRPr="00211998">
              <w:rPr>
                <w:bCs/>
              </w:rPr>
              <w:t>CCS opening records policy includes the ‘Think Whole Family’ approach.</w:t>
            </w:r>
          </w:p>
          <w:p w14:paraId="4A21BE26" w14:textId="77777777" w:rsidR="001514B4" w:rsidRPr="00211998" w:rsidRDefault="001514B4" w:rsidP="00A714F4">
            <w:pPr>
              <w:rPr>
                <w:bCs/>
              </w:rPr>
            </w:pPr>
          </w:p>
        </w:tc>
      </w:tr>
      <w:tr w:rsidR="001514B4" w:rsidRPr="003E5FC3" w14:paraId="7B912567" w14:textId="77777777" w:rsidTr="00F45DB9">
        <w:tc>
          <w:tcPr>
            <w:tcW w:w="4106" w:type="dxa"/>
          </w:tcPr>
          <w:p w14:paraId="070B845E" w14:textId="77777777" w:rsidR="00766C9D" w:rsidRPr="00481CF0" w:rsidRDefault="00766C9D" w:rsidP="00481CF0">
            <w:pPr>
              <w:rPr>
                <w:rFonts w:eastAsia="Times New Roman" w:cs="Arial"/>
                <w:bCs/>
                <w:kern w:val="0"/>
                <w:lang w:eastAsia="en-GB"/>
                <w14:ligatures w14:val="none"/>
              </w:rPr>
            </w:pPr>
            <w:r w:rsidRPr="00481CF0">
              <w:rPr>
                <w:rFonts w:eastAsia="Times New Roman" w:cs="Arial"/>
                <w:bCs/>
                <w:kern w:val="0"/>
                <w:lang w:eastAsia="en-GB"/>
                <w14:ligatures w14:val="none"/>
              </w:rPr>
              <w:lastRenderedPageBreak/>
              <w:t>Over reliance on written agreements</w:t>
            </w:r>
            <w:r w:rsidRPr="00481CF0">
              <w:rPr>
                <w:rFonts w:eastAsia="Times New Roman" w:cs="Arial"/>
                <w:b/>
                <w:kern w:val="0"/>
                <w:lang w:eastAsia="en-GB"/>
                <w14:ligatures w14:val="none"/>
              </w:rPr>
              <w:t xml:space="preserve"> </w:t>
            </w:r>
            <w:r w:rsidRPr="00481CF0">
              <w:rPr>
                <w:rFonts w:eastAsia="Times New Roman" w:cs="Arial"/>
                <w:bCs/>
                <w:kern w:val="0"/>
                <w:lang w:eastAsia="en-GB"/>
                <w14:ligatures w14:val="none"/>
              </w:rPr>
              <w:t>– There was an over reliance on written agreements and a naivety that mother (who had openly said she believed her partner) would adhere to them and keep her children safe, particularly in relation to the second written agreement when the first agreement had been broken. It was agreed that written agreements should no longer be used, but we need to develop staff to be able to draft strong safety plans.</w:t>
            </w:r>
          </w:p>
          <w:p w14:paraId="34F5BA8D" w14:textId="02ECC124" w:rsidR="001514B4" w:rsidRPr="00481CF0" w:rsidRDefault="001514B4" w:rsidP="00481CF0">
            <w:pPr>
              <w:rPr>
                <w:b/>
                <w:bCs/>
              </w:rPr>
            </w:pPr>
          </w:p>
        </w:tc>
        <w:tc>
          <w:tcPr>
            <w:tcW w:w="3119" w:type="dxa"/>
          </w:tcPr>
          <w:p w14:paraId="33119BF1" w14:textId="77777777" w:rsidR="00A8708D" w:rsidRPr="00A8708D" w:rsidRDefault="00A8708D" w:rsidP="00A8708D">
            <w:r w:rsidRPr="00A8708D">
              <w:t>Stop the use of Written Agreements in Central Bedfordshire.</w:t>
            </w:r>
          </w:p>
          <w:p w14:paraId="45983B60" w14:textId="77777777" w:rsidR="00A8708D" w:rsidRPr="00A8708D" w:rsidRDefault="00A8708D" w:rsidP="00A8708D"/>
          <w:p w14:paraId="7C2AAF02" w14:textId="77777777" w:rsidR="00A8708D" w:rsidRPr="00A8708D" w:rsidRDefault="00A8708D" w:rsidP="00A8708D">
            <w:r w:rsidRPr="00A8708D">
              <w:t>Development of our CSA work within Central Bedfordshire, via the CSA NSPCC Snapshot:</w:t>
            </w:r>
          </w:p>
          <w:p w14:paraId="0C88D777" w14:textId="77777777" w:rsidR="00A8708D" w:rsidRPr="00A8708D" w:rsidRDefault="00A8708D" w:rsidP="00A8708D"/>
          <w:p w14:paraId="78BEADE5" w14:textId="77777777" w:rsidR="00A8708D" w:rsidRDefault="00A8708D" w:rsidP="00A8708D">
            <w:r w:rsidRPr="00A8708D">
              <w:t>Central Bedfordshire are currently part of an NSPCC Snapshot Project in relation to Child Sexual Abuse with the aim of helping us to develop the following locally:</w:t>
            </w:r>
          </w:p>
          <w:p w14:paraId="17D7EF36" w14:textId="77777777" w:rsidR="00193FB5" w:rsidRPr="00A8708D" w:rsidRDefault="00193FB5" w:rsidP="00A8708D"/>
          <w:p w14:paraId="462216D6" w14:textId="77777777" w:rsidR="00A8708D" w:rsidRPr="00A8708D" w:rsidRDefault="00A8708D" w:rsidP="00434E82">
            <w:pPr>
              <w:pStyle w:val="ListParagraph"/>
              <w:numPr>
                <w:ilvl w:val="0"/>
                <w:numId w:val="18"/>
              </w:numPr>
            </w:pPr>
            <w:r w:rsidRPr="00A8708D">
              <w:t xml:space="preserve">Local Child Sexual Abuse Strategy </w:t>
            </w:r>
          </w:p>
          <w:p w14:paraId="24D2F845" w14:textId="77777777" w:rsidR="00A8708D" w:rsidRPr="00A8708D" w:rsidRDefault="00A8708D" w:rsidP="00434E82">
            <w:pPr>
              <w:pStyle w:val="ListParagraph"/>
              <w:numPr>
                <w:ilvl w:val="0"/>
                <w:numId w:val="18"/>
              </w:numPr>
            </w:pPr>
            <w:r w:rsidRPr="00A8708D">
              <w:t xml:space="preserve">Local Pathways </w:t>
            </w:r>
          </w:p>
          <w:p w14:paraId="4C8B3174" w14:textId="77777777" w:rsidR="00A8708D" w:rsidRPr="00A8708D" w:rsidRDefault="00A8708D" w:rsidP="00434E82">
            <w:pPr>
              <w:pStyle w:val="ListParagraph"/>
              <w:numPr>
                <w:ilvl w:val="0"/>
                <w:numId w:val="18"/>
              </w:numPr>
            </w:pPr>
            <w:r w:rsidRPr="00A8708D">
              <w:lastRenderedPageBreak/>
              <w:t xml:space="preserve">Awareness and Knowledge </w:t>
            </w:r>
          </w:p>
          <w:p w14:paraId="12F5066F" w14:textId="77777777" w:rsidR="00A8708D" w:rsidRPr="00A8708D" w:rsidRDefault="00A8708D" w:rsidP="00434E82">
            <w:pPr>
              <w:pStyle w:val="ListParagraph"/>
              <w:numPr>
                <w:ilvl w:val="0"/>
                <w:numId w:val="18"/>
              </w:numPr>
            </w:pPr>
            <w:r w:rsidRPr="00A8708D">
              <w:t xml:space="preserve">Training and Development </w:t>
            </w:r>
          </w:p>
          <w:p w14:paraId="5D049B40" w14:textId="77777777" w:rsidR="00A8708D" w:rsidRPr="00A8708D" w:rsidRDefault="00A8708D" w:rsidP="00434E82">
            <w:pPr>
              <w:pStyle w:val="ListParagraph"/>
              <w:numPr>
                <w:ilvl w:val="0"/>
                <w:numId w:val="18"/>
              </w:numPr>
            </w:pPr>
            <w:r w:rsidRPr="00A8708D">
              <w:t>Holistic Multi-agency Responses</w:t>
            </w:r>
          </w:p>
          <w:p w14:paraId="0EA24D1C" w14:textId="77777777" w:rsidR="001514B4" w:rsidRDefault="00A8708D" w:rsidP="00434E82">
            <w:pPr>
              <w:pStyle w:val="ListParagraph"/>
              <w:numPr>
                <w:ilvl w:val="0"/>
                <w:numId w:val="18"/>
              </w:numPr>
            </w:pPr>
            <w:r w:rsidRPr="00BD62AA">
              <w:t>Availability and Quality of Service Provision</w:t>
            </w:r>
          </w:p>
          <w:p w14:paraId="52029082" w14:textId="14C4D8AB" w:rsidR="00BD62AA" w:rsidRPr="00BD62AA" w:rsidRDefault="00BD62AA" w:rsidP="00BD62AA">
            <w:pPr>
              <w:pStyle w:val="ListParagraph"/>
              <w:ind w:left="360"/>
            </w:pPr>
          </w:p>
        </w:tc>
        <w:tc>
          <w:tcPr>
            <w:tcW w:w="6520" w:type="dxa"/>
          </w:tcPr>
          <w:p w14:paraId="7E673D3F" w14:textId="77777777" w:rsidR="001514B4" w:rsidRDefault="00211998" w:rsidP="00323CD5">
            <w:pPr>
              <w:rPr>
                <w:bCs/>
              </w:rPr>
            </w:pPr>
            <w:r>
              <w:rPr>
                <w:bCs/>
              </w:rPr>
              <w:lastRenderedPageBreak/>
              <w:t>Following the completion of the CSA Snapshot</w:t>
            </w:r>
            <w:r w:rsidRPr="00211998">
              <w:rPr>
                <w:bCs/>
              </w:rPr>
              <w:t>,</w:t>
            </w:r>
            <w:r w:rsidR="00C728D2" w:rsidRPr="00211998">
              <w:rPr>
                <w:bCs/>
              </w:rPr>
              <w:t xml:space="preserve"> a Pan Bedfordshire CSA </w:t>
            </w:r>
            <w:r w:rsidRPr="00211998">
              <w:rPr>
                <w:bCs/>
              </w:rPr>
              <w:t>Strategy</w:t>
            </w:r>
            <w:r w:rsidR="00C728D2" w:rsidRPr="00211998">
              <w:rPr>
                <w:bCs/>
              </w:rPr>
              <w:t xml:space="preserve"> and Action Plan has been developed to implement the recommendations. A CSA Steering Group is overseeing the </w:t>
            </w:r>
            <w:r w:rsidRPr="00211998">
              <w:rPr>
                <w:bCs/>
              </w:rPr>
              <w:t>implementation of the action plan.</w:t>
            </w:r>
          </w:p>
          <w:p w14:paraId="41997027" w14:textId="77777777" w:rsidR="00193FB5" w:rsidRDefault="00193FB5" w:rsidP="00323CD5">
            <w:pPr>
              <w:rPr>
                <w:bCs/>
              </w:rPr>
            </w:pPr>
          </w:p>
          <w:p w14:paraId="1D3C4FDA" w14:textId="77777777" w:rsidR="00193FB5" w:rsidRDefault="00193FB5" w:rsidP="00323CD5">
            <w:pPr>
              <w:rPr>
                <w:bCs/>
              </w:rPr>
            </w:pPr>
            <w:r>
              <w:rPr>
                <w:bCs/>
              </w:rPr>
              <w:t>Additional updates:</w:t>
            </w:r>
          </w:p>
          <w:p w14:paraId="6B740C1D" w14:textId="6B55D0F3" w:rsidR="001C3319" w:rsidRDefault="001C3319" w:rsidP="00323CD5">
            <w:pPr>
              <w:rPr>
                <w:bCs/>
              </w:rPr>
            </w:pPr>
            <w:r>
              <w:rPr>
                <w:bCs/>
              </w:rPr>
              <w:t>Children’s social Care:</w:t>
            </w:r>
          </w:p>
          <w:p w14:paraId="719F4A9A" w14:textId="77777777" w:rsidR="002130AE" w:rsidRPr="002130AE" w:rsidRDefault="002130AE" w:rsidP="002130AE">
            <w:pPr>
              <w:rPr>
                <w:bCs/>
              </w:rPr>
            </w:pPr>
            <w:r w:rsidRPr="002130AE">
              <w:rPr>
                <w:bCs/>
              </w:rPr>
              <w:t xml:space="preserve">DCS direction for CBC not to use written agreements. </w:t>
            </w:r>
          </w:p>
          <w:p w14:paraId="4070F2FE" w14:textId="77777777" w:rsidR="002130AE" w:rsidRDefault="002130AE" w:rsidP="002130AE">
            <w:pPr>
              <w:rPr>
                <w:bCs/>
              </w:rPr>
            </w:pPr>
            <w:r w:rsidRPr="002130AE">
              <w:rPr>
                <w:bCs/>
              </w:rPr>
              <w:t>Focussed workshops undertaken around sexual abuse and its impact, non-offending adults, safety and contingency planning rolled out to all practitioners, managers, Heads of Service, and ADs in August and October 2024.</w:t>
            </w:r>
          </w:p>
          <w:p w14:paraId="16535AD0" w14:textId="77777777" w:rsidR="00BA6F19" w:rsidRDefault="00BA6F19" w:rsidP="002130AE">
            <w:pPr>
              <w:rPr>
                <w:bCs/>
              </w:rPr>
            </w:pPr>
          </w:p>
          <w:p w14:paraId="467C04A1" w14:textId="5B88241B" w:rsidR="00BA6F19" w:rsidRDefault="00BA6F19" w:rsidP="002130AE">
            <w:pPr>
              <w:rPr>
                <w:bCs/>
              </w:rPr>
            </w:pPr>
            <w:r>
              <w:rPr>
                <w:bCs/>
              </w:rPr>
              <w:t xml:space="preserve">Further </w:t>
            </w:r>
            <w:r w:rsidRPr="00BA6F19">
              <w:rPr>
                <w:bCs/>
              </w:rPr>
              <w:t>audit activity</w:t>
            </w:r>
            <w:r w:rsidR="00437144">
              <w:rPr>
                <w:bCs/>
              </w:rPr>
              <w:t xml:space="preserve"> has</w:t>
            </w:r>
            <w:r w:rsidRPr="00BA6F19">
              <w:rPr>
                <w:bCs/>
              </w:rPr>
              <w:t xml:space="preserve"> allow</w:t>
            </w:r>
            <w:r w:rsidR="00437144">
              <w:rPr>
                <w:bCs/>
              </w:rPr>
              <w:t>ed the service to feel c</w:t>
            </w:r>
            <w:r w:rsidRPr="00BA6F19">
              <w:rPr>
                <w:bCs/>
              </w:rPr>
              <w:t>onfident that safety plans are completed for all children and families and uploaded on to their records. Th</w:t>
            </w:r>
            <w:r w:rsidR="00C75A31">
              <w:rPr>
                <w:bCs/>
              </w:rPr>
              <w:t>is</w:t>
            </w:r>
            <w:r w:rsidRPr="00BA6F19">
              <w:rPr>
                <w:bCs/>
              </w:rPr>
              <w:t xml:space="preserve"> practice is now </w:t>
            </w:r>
            <w:r w:rsidR="00C75A31">
              <w:rPr>
                <w:bCs/>
              </w:rPr>
              <w:t>business as usual</w:t>
            </w:r>
            <w:r w:rsidRPr="00BA6F19">
              <w:rPr>
                <w:bCs/>
              </w:rPr>
              <w:t xml:space="preserve"> – development workshops </w:t>
            </w:r>
            <w:r w:rsidR="00C75A31">
              <w:rPr>
                <w:bCs/>
              </w:rPr>
              <w:t xml:space="preserve">have </w:t>
            </w:r>
            <w:r w:rsidRPr="00BA6F19">
              <w:rPr>
                <w:bCs/>
              </w:rPr>
              <w:t>act</w:t>
            </w:r>
            <w:r w:rsidR="00C75A31">
              <w:rPr>
                <w:bCs/>
              </w:rPr>
              <w:t>ed</w:t>
            </w:r>
            <w:r w:rsidRPr="00BA6F19">
              <w:rPr>
                <w:bCs/>
              </w:rPr>
              <w:t xml:space="preserve"> as a reminder and support staff with the quality</w:t>
            </w:r>
            <w:r w:rsidR="00C75A31">
              <w:rPr>
                <w:bCs/>
              </w:rPr>
              <w:t>.</w:t>
            </w:r>
          </w:p>
          <w:p w14:paraId="7F81FE40" w14:textId="77777777" w:rsidR="001D0A9F" w:rsidRDefault="001D0A9F" w:rsidP="002130AE">
            <w:pPr>
              <w:rPr>
                <w:bCs/>
              </w:rPr>
            </w:pPr>
          </w:p>
          <w:p w14:paraId="660B4906" w14:textId="30A65D50" w:rsidR="001D0A9F" w:rsidRDefault="001D0A9F" w:rsidP="002130AE">
            <w:pPr>
              <w:rPr>
                <w:bCs/>
              </w:rPr>
            </w:pPr>
            <w:r>
              <w:rPr>
                <w:bCs/>
              </w:rPr>
              <w:lastRenderedPageBreak/>
              <w:t>Cambridgeshire Community Services:</w:t>
            </w:r>
          </w:p>
          <w:p w14:paraId="088C71C3" w14:textId="4C9A2B03" w:rsidR="001D0A9F" w:rsidRDefault="001D0A9F" w:rsidP="002130AE">
            <w:pPr>
              <w:rPr>
                <w:bCs/>
              </w:rPr>
            </w:pPr>
            <w:r w:rsidRPr="001D0A9F">
              <w:rPr>
                <w:bCs/>
              </w:rPr>
              <w:t>CCS currently has a sexual abuse L3 training package where safety planning is discussed.</w:t>
            </w:r>
          </w:p>
          <w:p w14:paraId="476EAA89" w14:textId="7852D85F" w:rsidR="00C75A31" w:rsidRPr="00211998" w:rsidRDefault="00C75A31" w:rsidP="002130AE">
            <w:pPr>
              <w:rPr>
                <w:bCs/>
              </w:rPr>
            </w:pPr>
          </w:p>
        </w:tc>
      </w:tr>
      <w:tr w:rsidR="001514B4" w:rsidRPr="003E5FC3" w14:paraId="31B299A7" w14:textId="77777777" w:rsidTr="00F45DB9">
        <w:tc>
          <w:tcPr>
            <w:tcW w:w="4106" w:type="dxa"/>
          </w:tcPr>
          <w:p w14:paraId="444729D8" w14:textId="6171162B" w:rsidR="001514B4" w:rsidRPr="00A23924" w:rsidRDefault="00A23924" w:rsidP="00323CD5">
            <w:r w:rsidRPr="00A23924">
              <w:lastRenderedPageBreak/>
              <w:t>Information Sharing – there are times when information was not shared appropriately between agencies, for example it was CAFCASS that initially notified Children’s Services of</w:t>
            </w:r>
            <w:r w:rsidR="00A30289">
              <w:t xml:space="preserve"> Stepfather’s</w:t>
            </w:r>
            <w:r w:rsidRPr="00A23924">
              <w:t xml:space="preserve"> conviction and not the Police.</w:t>
            </w:r>
          </w:p>
        </w:tc>
        <w:tc>
          <w:tcPr>
            <w:tcW w:w="3119" w:type="dxa"/>
          </w:tcPr>
          <w:p w14:paraId="791D2253" w14:textId="49BEED4E" w:rsidR="001514B4" w:rsidRPr="00A30289" w:rsidRDefault="00A30289" w:rsidP="00323CD5">
            <w:r w:rsidRPr="00A30289">
              <w:t>Learning to be shared widely amongst partner agencies and professionals</w:t>
            </w:r>
          </w:p>
        </w:tc>
        <w:tc>
          <w:tcPr>
            <w:tcW w:w="6520" w:type="dxa"/>
          </w:tcPr>
          <w:p w14:paraId="00650B41" w14:textId="10F4BDA0" w:rsidR="001514B4" w:rsidRPr="008B1BB3" w:rsidRDefault="004B6692" w:rsidP="00323CD5">
            <w:r w:rsidRPr="008B1BB3">
              <w:t xml:space="preserve">This learning was shared amongst partners including via a 7-minute briefing. Information regarding </w:t>
            </w:r>
            <w:r w:rsidR="00AC2BB7" w:rsidRPr="008B1BB3">
              <w:t xml:space="preserve">information </w:t>
            </w:r>
            <w:r w:rsidR="008B1BB3" w:rsidRPr="008B1BB3">
              <w:t>sharing is</w:t>
            </w:r>
            <w:r w:rsidR="00AC2BB7" w:rsidRPr="008B1BB3">
              <w:t xml:space="preserve"> </w:t>
            </w:r>
            <w:r w:rsidRPr="008B1BB3">
              <w:t>included within our safeguarding training packages. Learning was also shared in the Safeguarding Bedfordshire Newsletter.</w:t>
            </w:r>
          </w:p>
          <w:p w14:paraId="50E4AC25" w14:textId="77777777" w:rsidR="008B1BB3" w:rsidRDefault="008B1BB3" w:rsidP="00323CD5">
            <w:pPr>
              <w:rPr>
                <w:b/>
                <w:bCs/>
              </w:rPr>
            </w:pPr>
          </w:p>
          <w:p w14:paraId="13C43B1F" w14:textId="0F8B37A8" w:rsidR="004F144C" w:rsidRDefault="004F144C" w:rsidP="00323CD5">
            <w:r w:rsidRPr="004F144C">
              <w:t>Additional Updates:</w:t>
            </w:r>
          </w:p>
          <w:p w14:paraId="5F653F24" w14:textId="173D3420" w:rsidR="00B77E30" w:rsidRPr="004F144C" w:rsidRDefault="00B77E30" w:rsidP="00323CD5">
            <w:r>
              <w:t>Cambridge</w:t>
            </w:r>
            <w:r w:rsidR="002739A6">
              <w:t xml:space="preserve"> Community Services:</w:t>
            </w:r>
          </w:p>
          <w:p w14:paraId="1B511B4F" w14:textId="3A094F9B" w:rsidR="004F144C" w:rsidRDefault="004F144C" w:rsidP="00323CD5">
            <w:r w:rsidRPr="00B77E30">
              <w:t>The importance of timely referrals is highlighted to all CCS practitioners as part of their foundation training as new starters and reiterated at their yearly L3 updates. This message is also shared in safeguarding supervision and links to make referrals are accessibly on our clinical recording system (SystmOne) via safeguarding quick links, the intranet and the safeguarding padlet.</w:t>
            </w:r>
          </w:p>
          <w:p w14:paraId="7C75ABFB" w14:textId="77777777" w:rsidR="00B927D3" w:rsidRDefault="00B927D3" w:rsidP="00323CD5"/>
          <w:p w14:paraId="162F5616" w14:textId="72DA3419" w:rsidR="00B927D3" w:rsidRPr="00B927D3" w:rsidRDefault="00B927D3" w:rsidP="00B927D3">
            <w:r>
              <w:t>In addition, a</w:t>
            </w:r>
            <w:r w:rsidRPr="00B927D3">
              <w:t xml:space="preserve"> referrals audit was undertaken</w:t>
            </w:r>
            <w:r>
              <w:t xml:space="preserve"> by CCS</w:t>
            </w:r>
            <w:r w:rsidR="00773AC6">
              <w:t xml:space="preserve">, which showed that in </w:t>
            </w:r>
            <w:r w:rsidRPr="00B927D3">
              <w:t>100% of the cases sampled it was found that referrals were made in a timely manner.</w:t>
            </w:r>
          </w:p>
          <w:p w14:paraId="29CB7208" w14:textId="3106597E" w:rsidR="00B927D3" w:rsidRDefault="00B927D3" w:rsidP="00323CD5"/>
          <w:p w14:paraId="6806A6DC" w14:textId="1D0FD758" w:rsidR="00954CEE" w:rsidRDefault="00954CEE" w:rsidP="00C5358F">
            <w:r>
              <w:t>Children’s Social Care</w:t>
            </w:r>
            <w:r w:rsidR="00151952">
              <w:t>:</w:t>
            </w:r>
          </w:p>
          <w:p w14:paraId="3AF723D5" w14:textId="2D33BF65" w:rsidR="00151952" w:rsidRPr="00B77E30" w:rsidRDefault="00151952" w:rsidP="00C5358F">
            <w:r>
              <w:lastRenderedPageBreak/>
              <w:t>A</w:t>
            </w:r>
            <w:r w:rsidRPr="00151952">
              <w:t xml:space="preserve">ssurance activity including weekly dip-sampling, thematics and full case audits undertaken to ensure information is shared in a timely manner. Escalation processes are in place where this has not been the case. </w:t>
            </w:r>
            <w:r>
              <w:t>A r</w:t>
            </w:r>
            <w:r w:rsidRPr="00151952">
              <w:t xml:space="preserve">eflective session </w:t>
            </w:r>
            <w:r>
              <w:t xml:space="preserve">was </w:t>
            </w:r>
            <w:r w:rsidRPr="00151952">
              <w:t>held with all managers, Heads of Service and ADs in July and October 2024.</w:t>
            </w:r>
          </w:p>
          <w:p w14:paraId="46694449" w14:textId="77777777" w:rsidR="004F144C" w:rsidRDefault="004F144C" w:rsidP="00323CD5">
            <w:pPr>
              <w:rPr>
                <w:b/>
                <w:bCs/>
              </w:rPr>
            </w:pPr>
          </w:p>
          <w:p w14:paraId="1B228CE7" w14:textId="77777777" w:rsidR="000140D5" w:rsidRPr="000140D5" w:rsidRDefault="000140D5" w:rsidP="00323CD5">
            <w:r w:rsidRPr="000140D5">
              <w:t>Bedfordshire Hospitals:</w:t>
            </w:r>
          </w:p>
          <w:p w14:paraId="6DBAC8B4" w14:textId="3681CF9A" w:rsidR="000140D5" w:rsidRPr="000140D5" w:rsidRDefault="000140D5" w:rsidP="00323CD5">
            <w:r w:rsidRPr="000140D5">
              <w:t>In relation to information sharing, a development of a safeguarding care plan is due to be aligned across Bedfordshire Hospitals (Luton and Bedford Site) to ensure for timely and efficient information sharing.</w:t>
            </w:r>
          </w:p>
        </w:tc>
      </w:tr>
      <w:tr w:rsidR="001514B4" w:rsidRPr="003E5FC3" w14:paraId="180C7D2F" w14:textId="77777777" w:rsidTr="00F45DB9">
        <w:tc>
          <w:tcPr>
            <w:tcW w:w="4106" w:type="dxa"/>
          </w:tcPr>
          <w:p w14:paraId="2647C1D6" w14:textId="77777777" w:rsidR="00FB3B64" w:rsidRPr="00C5358F" w:rsidRDefault="00FB3B64" w:rsidP="00C5358F">
            <w:pPr>
              <w:rPr>
                <w:rFonts w:eastAsia="Times New Roman" w:cs="Arial"/>
                <w:bCs/>
                <w:kern w:val="0"/>
                <w:lang w:eastAsia="en-GB"/>
                <w14:ligatures w14:val="none"/>
              </w:rPr>
            </w:pPr>
            <w:r w:rsidRPr="00A45E6E">
              <w:rPr>
                <w:rFonts w:eastAsia="Times New Roman" w:cs="Arial"/>
                <w:bCs/>
                <w:kern w:val="0"/>
                <w:lang w:eastAsia="en-GB"/>
                <w14:ligatures w14:val="none"/>
              </w:rPr>
              <w:lastRenderedPageBreak/>
              <w:t>Understanding of risks between agencies</w:t>
            </w:r>
            <w:r w:rsidRPr="00C5358F">
              <w:rPr>
                <w:rFonts w:eastAsia="Times New Roman" w:cs="Arial"/>
                <w:b/>
                <w:kern w:val="0"/>
                <w:lang w:eastAsia="en-GB"/>
                <w14:ligatures w14:val="none"/>
              </w:rPr>
              <w:t xml:space="preserve"> </w:t>
            </w:r>
            <w:r w:rsidRPr="00C5358F">
              <w:rPr>
                <w:rFonts w:eastAsia="Times New Roman" w:cs="Arial"/>
                <w:bCs/>
                <w:kern w:val="0"/>
                <w:lang w:eastAsia="en-GB"/>
                <w14:ligatures w14:val="none"/>
              </w:rPr>
              <w:t>– In this case other partners did not understand the risk posed by a ‘Medium Risk’ as assessed by Probation, neither did they necessarily understand the gradings of the sexual offences/images. This is an area of development to help assessing risk in the future and some future multi-agency training and workshops are needed around this topic.</w:t>
            </w:r>
          </w:p>
          <w:p w14:paraId="15E186E2" w14:textId="77777777" w:rsidR="001514B4" w:rsidRPr="003E5FC3" w:rsidRDefault="001514B4" w:rsidP="00323CD5">
            <w:pPr>
              <w:rPr>
                <w:b/>
                <w:bCs/>
              </w:rPr>
            </w:pPr>
          </w:p>
        </w:tc>
        <w:tc>
          <w:tcPr>
            <w:tcW w:w="3119" w:type="dxa"/>
          </w:tcPr>
          <w:p w14:paraId="08005203" w14:textId="3A71985D" w:rsidR="001514B4" w:rsidRPr="007F1387" w:rsidRDefault="007F1387" w:rsidP="00323CD5">
            <w:r w:rsidRPr="007F1387">
              <w:t>Risk Assessment and Thresholds Webinar to be developed</w:t>
            </w:r>
          </w:p>
        </w:tc>
        <w:tc>
          <w:tcPr>
            <w:tcW w:w="6520" w:type="dxa"/>
          </w:tcPr>
          <w:p w14:paraId="52D88E0C" w14:textId="6894F3B9" w:rsidR="00307BDB" w:rsidRPr="00B02091" w:rsidRDefault="00307BDB" w:rsidP="00307BDB">
            <w:r w:rsidRPr="00B02091">
              <w:t xml:space="preserve">The Central Bedfordshire Safeguarding Children Partnership webinar ‘Risk Assessments &amp; </w:t>
            </w:r>
          </w:p>
          <w:p w14:paraId="58CE31DB" w14:textId="21F44646" w:rsidR="00307BDB" w:rsidRPr="00B02091" w:rsidRDefault="00B02091" w:rsidP="00307BDB">
            <w:r w:rsidRPr="00B02091">
              <w:t>Thresholds</w:t>
            </w:r>
            <w:r w:rsidR="00307BDB" w:rsidRPr="00B02091">
              <w:t xml:space="preserve"> </w:t>
            </w:r>
            <w:r w:rsidR="00CD68A1" w:rsidRPr="00B02091">
              <w:t>was held on the 27</w:t>
            </w:r>
            <w:r w:rsidR="00CD68A1" w:rsidRPr="00B02091">
              <w:rPr>
                <w:vertAlign w:val="superscript"/>
              </w:rPr>
              <w:t>th</w:t>
            </w:r>
            <w:r w:rsidR="00CD68A1" w:rsidRPr="00B02091">
              <w:t xml:space="preserve"> February 2025 and </w:t>
            </w:r>
            <w:r w:rsidR="00307BDB" w:rsidRPr="00B02091">
              <w:t xml:space="preserve">aimed to raise practitioner awareness of the risk assessment and threshold guidance used by different </w:t>
            </w:r>
          </w:p>
          <w:p w14:paraId="795B940B" w14:textId="77777777" w:rsidR="00307BDB" w:rsidRPr="00B02091" w:rsidRDefault="00307BDB" w:rsidP="00307BDB">
            <w:r w:rsidRPr="00B02091">
              <w:t xml:space="preserve">agencies, and to consider how we work with the different standards of proof and ensure the child/ young person at </w:t>
            </w:r>
          </w:p>
          <w:p w14:paraId="6C2204B0" w14:textId="082A57E8" w:rsidR="00307BDB" w:rsidRPr="00B02091" w:rsidRDefault="00307BDB" w:rsidP="00CD68A1">
            <w:r w:rsidRPr="00B02091">
              <w:t>the centre of our practice. The session focused on concerns around Child Sexual Abus</w:t>
            </w:r>
            <w:r w:rsidR="00CD68A1" w:rsidRPr="00B02091">
              <w:t>e.</w:t>
            </w:r>
          </w:p>
          <w:p w14:paraId="1CF59DDB" w14:textId="77777777" w:rsidR="00CD68A1" w:rsidRPr="00B02091" w:rsidRDefault="00CD68A1" w:rsidP="00CD68A1"/>
          <w:p w14:paraId="701AC048" w14:textId="77777777" w:rsidR="00307BDB" w:rsidRPr="00B02091" w:rsidRDefault="00307BDB" w:rsidP="00307BDB">
            <w:r w:rsidRPr="00B02091">
              <w:t xml:space="preserve">Presentations were delivered by Cambridgeshire Community Services, HMP Probation Service, Central Bedfordshire </w:t>
            </w:r>
          </w:p>
          <w:p w14:paraId="4D4F7D2C" w14:textId="77777777" w:rsidR="00307BDB" w:rsidRPr="00B02091" w:rsidRDefault="00307BDB" w:rsidP="00307BDB">
            <w:r w:rsidRPr="00B02091">
              <w:t>Council Children’s Services, Bedfordshire Police ICAIT and Offender Management Teams. This webinar highlighted</w:t>
            </w:r>
          </w:p>
          <w:p w14:paraId="7D81D3ED" w14:textId="77777777" w:rsidR="00307BDB" w:rsidRPr="00B02091" w:rsidRDefault="00307BDB" w:rsidP="00307BDB">
            <w:r w:rsidRPr="00B02091">
              <w:t xml:space="preserve">each agencies approach to risk management, and how information sharing was key to accurate and up to date </w:t>
            </w:r>
          </w:p>
          <w:p w14:paraId="78AC2E38" w14:textId="77777777" w:rsidR="00307BDB" w:rsidRPr="00B02091" w:rsidRDefault="00307BDB" w:rsidP="00307BDB">
            <w:r w:rsidRPr="00B02091">
              <w:t xml:space="preserve">assessments. </w:t>
            </w:r>
          </w:p>
          <w:p w14:paraId="0FDAA473" w14:textId="77777777" w:rsidR="00A45560" w:rsidRPr="00B02091" w:rsidRDefault="00A45560" w:rsidP="00307BDB"/>
          <w:p w14:paraId="0F5702A0" w14:textId="066218F4" w:rsidR="001514B4" w:rsidRPr="003E5FC3" w:rsidRDefault="00307BDB" w:rsidP="00307BDB">
            <w:pPr>
              <w:rPr>
                <w:b/>
                <w:bCs/>
              </w:rPr>
            </w:pPr>
            <w:r w:rsidRPr="00B02091">
              <w:lastRenderedPageBreak/>
              <w:t>We received 77 bookings via Eventbrite, with 70 practitioners (82%) joinin</w:t>
            </w:r>
            <w:r w:rsidR="00B02091" w:rsidRPr="00B02091">
              <w:t>g the session.</w:t>
            </w:r>
          </w:p>
        </w:tc>
      </w:tr>
      <w:tr w:rsidR="00405F55" w:rsidRPr="003E5FC3" w14:paraId="1320B2E2" w14:textId="77777777" w:rsidTr="00F45DB9">
        <w:tc>
          <w:tcPr>
            <w:tcW w:w="4106" w:type="dxa"/>
          </w:tcPr>
          <w:p w14:paraId="4960A8D8" w14:textId="77777777" w:rsidR="00405F55" w:rsidRPr="00181F9D" w:rsidRDefault="00405F55" w:rsidP="00AF6189">
            <w:pPr>
              <w:rPr>
                <w:rFonts w:ascii="Arial" w:eastAsia="Times New Roman" w:hAnsi="Arial" w:cs="Arial"/>
                <w:bCs/>
                <w:kern w:val="0"/>
                <w:sz w:val="22"/>
                <w:szCs w:val="22"/>
                <w:lang w:eastAsia="en-GB"/>
                <w14:ligatures w14:val="none"/>
              </w:rPr>
            </w:pPr>
            <w:r w:rsidRPr="00AF6189">
              <w:rPr>
                <w:rFonts w:eastAsia="Times New Roman" w:cs="Arial"/>
                <w:bCs/>
                <w:kern w:val="0"/>
                <w:lang w:eastAsia="en-GB"/>
                <w14:ligatures w14:val="none"/>
              </w:rPr>
              <w:lastRenderedPageBreak/>
              <w:t>Disguised compliance – There were incidents and times of disguised compliance from mother, therefore further work with practitioners around recognising and challenging disguised compliance is needed</w:t>
            </w:r>
            <w:r w:rsidRPr="00181F9D">
              <w:rPr>
                <w:rFonts w:ascii="Arial" w:eastAsia="Times New Roman" w:hAnsi="Arial" w:cs="Arial"/>
                <w:bCs/>
                <w:kern w:val="0"/>
                <w:sz w:val="22"/>
                <w:szCs w:val="22"/>
                <w:lang w:eastAsia="en-GB"/>
                <w14:ligatures w14:val="none"/>
              </w:rPr>
              <w:t>.</w:t>
            </w:r>
          </w:p>
          <w:p w14:paraId="4B194E90" w14:textId="77777777" w:rsidR="00405F55" w:rsidRPr="00A45E6E" w:rsidRDefault="00405F55" w:rsidP="00405F55">
            <w:pPr>
              <w:rPr>
                <w:rFonts w:eastAsia="Times New Roman" w:cs="Arial"/>
                <w:bCs/>
                <w:kern w:val="0"/>
                <w:lang w:eastAsia="en-GB"/>
                <w14:ligatures w14:val="none"/>
              </w:rPr>
            </w:pPr>
          </w:p>
        </w:tc>
        <w:tc>
          <w:tcPr>
            <w:tcW w:w="3119" w:type="dxa"/>
          </w:tcPr>
          <w:p w14:paraId="24E7D457" w14:textId="5CD3EC24" w:rsidR="00405F55" w:rsidRPr="007F1387" w:rsidRDefault="00BF3DE2" w:rsidP="00405F55">
            <w:r>
              <w:t>Learning to be shared with practitioners and highlighted in training</w:t>
            </w:r>
            <w:r w:rsidR="00516EFC">
              <w:t>.</w:t>
            </w:r>
          </w:p>
        </w:tc>
        <w:tc>
          <w:tcPr>
            <w:tcW w:w="6520" w:type="dxa"/>
          </w:tcPr>
          <w:p w14:paraId="6121C9EB" w14:textId="54B7A7FD" w:rsidR="00BC67F2" w:rsidRDefault="00BC67F2" w:rsidP="00BC67F2">
            <w:r w:rsidRPr="008B1BB3">
              <w:t xml:space="preserve">This learning was shared amongst partners including via a 7-minute briefing. Information regarding </w:t>
            </w:r>
            <w:r w:rsidR="00AF6189">
              <w:t xml:space="preserve">disguised compliance </w:t>
            </w:r>
            <w:r w:rsidRPr="008B1BB3">
              <w:t>is included within our safeguarding training packages. Learning was also shared in the Safeguarding Bedfordshire Newsletter.</w:t>
            </w:r>
          </w:p>
          <w:p w14:paraId="71439E60" w14:textId="77777777" w:rsidR="00AF6189" w:rsidRDefault="00AF6189" w:rsidP="00BC67F2"/>
          <w:p w14:paraId="3D21DC17" w14:textId="5DBF0DC0" w:rsidR="00AF6189" w:rsidRDefault="00AF6189" w:rsidP="00BC67F2">
            <w:r>
              <w:t>Additional updates:</w:t>
            </w:r>
          </w:p>
          <w:p w14:paraId="5C44D37D" w14:textId="2DD50BC1" w:rsidR="00D103A8" w:rsidRPr="008B1BB3" w:rsidRDefault="00D103A8" w:rsidP="00BC67F2">
            <w:r>
              <w:t xml:space="preserve">Children’s Social Care </w:t>
            </w:r>
            <w:r w:rsidR="00760581">
              <w:t>–</w:t>
            </w:r>
            <w:r>
              <w:t xml:space="preserve"> </w:t>
            </w:r>
            <w:r w:rsidR="00760581">
              <w:t>programme of mandatory workshops in place.</w:t>
            </w:r>
          </w:p>
          <w:p w14:paraId="6CC9C1E7" w14:textId="77777777" w:rsidR="00405F55" w:rsidRPr="00B02091" w:rsidRDefault="00405F55" w:rsidP="00405F55"/>
        </w:tc>
      </w:tr>
      <w:tr w:rsidR="00405F55" w:rsidRPr="003E5FC3" w14:paraId="22C63E37" w14:textId="77777777" w:rsidTr="00F45DB9">
        <w:tc>
          <w:tcPr>
            <w:tcW w:w="4106" w:type="dxa"/>
          </w:tcPr>
          <w:p w14:paraId="1C3A3512" w14:textId="5EF9E7C6" w:rsidR="00405F55" w:rsidRPr="00AF6189" w:rsidRDefault="00405F55" w:rsidP="00AF6189">
            <w:pPr>
              <w:rPr>
                <w:rFonts w:eastAsia="Times New Roman" w:cs="Arial"/>
                <w:bCs/>
                <w:kern w:val="0"/>
                <w:lang w:eastAsia="en-GB"/>
                <w14:ligatures w14:val="none"/>
              </w:rPr>
            </w:pPr>
            <w:r w:rsidRPr="00AF6189">
              <w:rPr>
                <w:rFonts w:eastAsia="Times New Roman" w:cs="Arial"/>
                <w:bCs/>
                <w:kern w:val="0"/>
                <w:lang w:eastAsia="en-GB"/>
                <w14:ligatures w14:val="none"/>
              </w:rPr>
              <w:t>Over reliance on self-reporting</w:t>
            </w:r>
            <w:r w:rsidRPr="00AF6189">
              <w:rPr>
                <w:rFonts w:eastAsia="Times New Roman" w:cs="Arial"/>
                <w:b/>
                <w:kern w:val="0"/>
                <w:lang w:eastAsia="en-GB"/>
                <w14:ligatures w14:val="none"/>
              </w:rPr>
              <w:t xml:space="preserve"> </w:t>
            </w:r>
            <w:r w:rsidRPr="00AF6189">
              <w:rPr>
                <w:rFonts w:eastAsia="Times New Roman" w:cs="Arial"/>
                <w:bCs/>
                <w:kern w:val="0"/>
                <w:lang w:eastAsia="en-GB"/>
                <w14:ligatures w14:val="none"/>
              </w:rPr>
              <w:t xml:space="preserve">– Within this case there was an over reliance on the self-reporting from </w:t>
            </w:r>
            <w:r w:rsidR="00044F0B" w:rsidRPr="00AF6189">
              <w:rPr>
                <w:rFonts w:eastAsia="Times New Roman" w:cs="Arial"/>
                <w:bCs/>
                <w:kern w:val="0"/>
                <w:lang w:eastAsia="en-GB"/>
                <w14:ligatures w14:val="none"/>
              </w:rPr>
              <w:t xml:space="preserve">Stepfather </w:t>
            </w:r>
            <w:r w:rsidRPr="00AF6189">
              <w:rPr>
                <w:rFonts w:eastAsia="Times New Roman" w:cs="Arial"/>
                <w:bCs/>
                <w:kern w:val="0"/>
                <w:lang w:eastAsia="en-GB"/>
                <w14:ligatures w14:val="none"/>
              </w:rPr>
              <w:t>around his addiction and risk levels towards the children, and too much emphasis placed on the fact he said he had self-referred himself to the GP for help.</w:t>
            </w:r>
          </w:p>
          <w:p w14:paraId="6EE6519E" w14:textId="77777777" w:rsidR="00405F55" w:rsidRPr="00A45E6E" w:rsidRDefault="00405F55" w:rsidP="00405F55">
            <w:pPr>
              <w:rPr>
                <w:rFonts w:eastAsia="Times New Roman" w:cs="Arial"/>
                <w:bCs/>
                <w:kern w:val="0"/>
                <w:lang w:eastAsia="en-GB"/>
                <w14:ligatures w14:val="none"/>
              </w:rPr>
            </w:pPr>
          </w:p>
        </w:tc>
        <w:tc>
          <w:tcPr>
            <w:tcW w:w="3119" w:type="dxa"/>
          </w:tcPr>
          <w:p w14:paraId="14D60C84" w14:textId="25F54257" w:rsidR="00405F55" w:rsidRPr="007F1387" w:rsidRDefault="00760581" w:rsidP="00405F55">
            <w:r>
              <w:t>Learning to be shared with practitioners</w:t>
            </w:r>
          </w:p>
        </w:tc>
        <w:tc>
          <w:tcPr>
            <w:tcW w:w="6520" w:type="dxa"/>
          </w:tcPr>
          <w:p w14:paraId="0DBF83BB" w14:textId="77777777" w:rsidR="00405F55" w:rsidRDefault="00503629" w:rsidP="00405F55">
            <w:r w:rsidRPr="00503629">
              <w:t xml:space="preserve">This learning was shared amongst partners including via a 7-minute briefing. Information regarding </w:t>
            </w:r>
            <w:r>
              <w:t>professional curiosity</w:t>
            </w:r>
            <w:r w:rsidRPr="00503629">
              <w:t xml:space="preserve"> is included within our safeguarding training packages. Learning was also shared in the Safeguarding Bedfordshire Newsletter.</w:t>
            </w:r>
          </w:p>
          <w:p w14:paraId="734CBCF7" w14:textId="77777777" w:rsidR="00F962F7" w:rsidRDefault="00F962F7" w:rsidP="00405F55"/>
          <w:p w14:paraId="61FA448B" w14:textId="77777777" w:rsidR="00F962F7" w:rsidRDefault="00F962F7" w:rsidP="00F962F7">
            <w:r>
              <w:t>Additional updates:</w:t>
            </w:r>
          </w:p>
          <w:p w14:paraId="5924693A" w14:textId="77777777" w:rsidR="00F962F7" w:rsidRPr="008B1BB3" w:rsidRDefault="00F962F7" w:rsidP="00F962F7">
            <w:r>
              <w:t>Children’s Social Care – programme of mandatory workshops in place.</w:t>
            </w:r>
          </w:p>
          <w:p w14:paraId="72AAF001" w14:textId="1863AC61" w:rsidR="00F962F7" w:rsidRPr="00B02091" w:rsidRDefault="00F962F7" w:rsidP="00405F55"/>
        </w:tc>
      </w:tr>
    </w:tbl>
    <w:p w14:paraId="29E4F612" w14:textId="77777777" w:rsidR="00ED2E3E" w:rsidRDefault="00ED2E3E" w:rsidP="004D69A0">
      <w:pPr>
        <w:spacing w:after="0" w:line="240" w:lineRule="auto"/>
        <w:rPr>
          <w:b/>
          <w:bCs/>
        </w:rPr>
      </w:pPr>
    </w:p>
    <w:p w14:paraId="35BD1A8E" w14:textId="77777777" w:rsidR="00ED2E3E" w:rsidRDefault="00ED2E3E" w:rsidP="004D69A0">
      <w:pPr>
        <w:spacing w:after="0" w:line="240" w:lineRule="auto"/>
        <w:rPr>
          <w:b/>
          <w:bCs/>
        </w:rPr>
      </w:pPr>
    </w:p>
    <w:p w14:paraId="05944D31" w14:textId="43A3CCB2" w:rsidR="005B64F3" w:rsidRDefault="00854946" w:rsidP="004D69A0">
      <w:pPr>
        <w:spacing w:after="0" w:line="240" w:lineRule="auto"/>
        <w:rPr>
          <w:b/>
          <w:bCs/>
        </w:rPr>
      </w:pPr>
      <w:r>
        <w:rPr>
          <w:b/>
          <w:bCs/>
        </w:rPr>
        <w:t xml:space="preserve">Case 4 – </w:t>
      </w:r>
      <w:r w:rsidR="005B10BD">
        <w:rPr>
          <w:b/>
          <w:bCs/>
        </w:rPr>
        <w:t>F</w:t>
      </w:r>
      <w:r w:rsidR="00933650">
        <w:rPr>
          <w:b/>
          <w:bCs/>
        </w:rPr>
        <w:t>amily B</w:t>
      </w:r>
    </w:p>
    <w:p w14:paraId="10978311" w14:textId="0B06B29F" w:rsidR="00933650" w:rsidRPr="00A40311" w:rsidRDefault="00BC1F7A" w:rsidP="004D69A0">
      <w:pPr>
        <w:spacing w:after="0" w:line="240" w:lineRule="auto"/>
      </w:pPr>
      <w:r w:rsidRPr="00A40311">
        <w:t xml:space="preserve">A Rapid Review was completed for </w:t>
      </w:r>
      <w:r w:rsidR="000F32DC" w:rsidRPr="00A40311">
        <w:t>Family B</w:t>
      </w:r>
      <w:r w:rsidR="00E8241D" w:rsidRPr="00A40311">
        <w:t xml:space="preserve">, </w:t>
      </w:r>
      <w:r w:rsidR="00A51112" w:rsidRPr="00A40311">
        <w:t xml:space="preserve">whose </w:t>
      </w:r>
      <w:r w:rsidR="000713D6" w:rsidRPr="00A40311">
        <w:t xml:space="preserve">children were being Electively Home </w:t>
      </w:r>
      <w:r w:rsidR="00A51112" w:rsidRPr="00A40311">
        <w:t>Educated</w:t>
      </w:r>
      <w:r w:rsidR="000713D6" w:rsidRPr="00A40311">
        <w:t xml:space="preserve"> </w:t>
      </w:r>
      <w:r w:rsidR="00A40311" w:rsidRPr="00A40311">
        <w:t>but were taken into protective care due to neglect.</w:t>
      </w:r>
    </w:p>
    <w:p w14:paraId="6CCF5B68" w14:textId="77777777" w:rsidR="00B9590C" w:rsidRDefault="00B9590C" w:rsidP="004D69A0">
      <w:pPr>
        <w:spacing w:after="0" w:line="240" w:lineRule="auto"/>
        <w:rPr>
          <w:b/>
          <w:bCs/>
        </w:rPr>
      </w:pPr>
    </w:p>
    <w:tbl>
      <w:tblPr>
        <w:tblStyle w:val="TableGrid"/>
        <w:tblW w:w="0" w:type="auto"/>
        <w:tblLook w:val="04A0" w:firstRow="1" w:lastRow="0" w:firstColumn="1" w:lastColumn="0" w:noHBand="0" w:noVBand="1"/>
      </w:tblPr>
      <w:tblGrid>
        <w:gridCol w:w="6516"/>
        <w:gridCol w:w="6662"/>
      </w:tblGrid>
      <w:tr w:rsidR="00B9590C" w:rsidRPr="00B9590C" w14:paraId="131C659D" w14:textId="77777777" w:rsidTr="00F45DB9">
        <w:tc>
          <w:tcPr>
            <w:tcW w:w="6516" w:type="dxa"/>
            <w:shd w:val="clear" w:color="auto" w:fill="D9F2D0" w:themeFill="accent6" w:themeFillTint="33"/>
          </w:tcPr>
          <w:p w14:paraId="4904E061" w14:textId="77777777" w:rsidR="00B9590C" w:rsidRPr="00B9590C" w:rsidRDefault="00B9590C" w:rsidP="00F94620">
            <w:pPr>
              <w:rPr>
                <w:rFonts w:cs="Arial"/>
                <w:b/>
                <w:bCs/>
              </w:rPr>
            </w:pPr>
            <w:r w:rsidRPr="00B9590C">
              <w:rPr>
                <w:rFonts w:cs="Arial"/>
                <w:b/>
                <w:bCs/>
              </w:rPr>
              <w:t xml:space="preserve">Learning Points </w:t>
            </w:r>
          </w:p>
        </w:tc>
        <w:tc>
          <w:tcPr>
            <w:tcW w:w="6662" w:type="dxa"/>
            <w:shd w:val="clear" w:color="auto" w:fill="D9F2D0" w:themeFill="accent6" w:themeFillTint="33"/>
          </w:tcPr>
          <w:p w14:paraId="5B20C46D" w14:textId="77777777" w:rsidR="00B9590C" w:rsidRPr="00B9590C" w:rsidRDefault="00B9590C" w:rsidP="00F94620">
            <w:pPr>
              <w:rPr>
                <w:rFonts w:cs="Arial"/>
                <w:b/>
                <w:bCs/>
              </w:rPr>
            </w:pPr>
            <w:r w:rsidRPr="00B9590C">
              <w:rPr>
                <w:rFonts w:cs="Arial"/>
                <w:b/>
                <w:bCs/>
              </w:rPr>
              <w:t xml:space="preserve">Actions Taken </w:t>
            </w:r>
          </w:p>
        </w:tc>
      </w:tr>
      <w:tr w:rsidR="00B9590C" w:rsidRPr="00B9590C" w14:paraId="2B124EA4" w14:textId="77777777" w:rsidTr="00F45DB9">
        <w:tc>
          <w:tcPr>
            <w:tcW w:w="13178" w:type="dxa"/>
            <w:gridSpan w:val="2"/>
            <w:shd w:val="clear" w:color="auto" w:fill="E8E8E8" w:themeFill="background2"/>
          </w:tcPr>
          <w:p w14:paraId="4372ED9C" w14:textId="77777777" w:rsidR="00B9590C" w:rsidRPr="00B9590C" w:rsidRDefault="00B9590C" w:rsidP="00F94620">
            <w:pPr>
              <w:rPr>
                <w:rFonts w:cs="Arial"/>
              </w:rPr>
            </w:pPr>
            <w:r w:rsidRPr="00B9590C">
              <w:rPr>
                <w:rFonts w:cs="Arial"/>
              </w:rPr>
              <w:t>Children and Families</w:t>
            </w:r>
          </w:p>
        </w:tc>
      </w:tr>
      <w:tr w:rsidR="00B9590C" w:rsidRPr="00B9590C" w14:paraId="37BE6C06" w14:textId="77777777" w:rsidTr="00F45DB9">
        <w:tc>
          <w:tcPr>
            <w:tcW w:w="6516" w:type="dxa"/>
          </w:tcPr>
          <w:p w14:paraId="785FC2AA" w14:textId="77777777" w:rsidR="00B9590C" w:rsidRPr="00CB7174" w:rsidRDefault="00B9590C" w:rsidP="00434E82">
            <w:pPr>
              <w:pStyle w:val="ListParagraph"/>
              <w:numPr>
                <w:ilvl w:val="0"/>
                <w:numId w:val="24"/>
              </w:numPr>
              <w:suppressAutoHyphens/>
              <w:autoSpaceDN w:val="0"/>
              <w:rPr>
                <w:rFonts w:cs="Arial"/>
                <w:bCs/>
              </w:rPr>
            </w:pPr>
            <w:r w:rsidRPr="00CB7174">
              <w:rPr>
                <w:rFonts w:eastAsia="Calibri" w:cs="Arial"/>
                <w:bCs/>
                <w:kern w:val="0"/>
                <w14:ligatures w14:val="none"/>
              </w:rPr>
              <w:lastRenderedPageBreak/>
              <w:t xml:space="preserve">Improving the process of how and when information is passed from Councillors to the Local Authority. </w:t>
            </w:r>
          </w:p>
        </w:tc>
        <w:tc>
          <w:tcPr>
            <w:tcW w:w="6662" w:type="dxa"/>
          </w:tcPr>
          <w:p w14:paraId="0CBBF2D7" w14:textId="77777777" w:rsidR="00B9590C" w:rsidRPr="00B9590C" w:rsidRDefault="00B9590C" w:rsidP="00F94620">
            <w:pPr>
              <w:rPr>
                <w:rFonts w:cs="Arial"/>
              </w:rPr>
            </w:pPr>
            <w:r w:rsidRPr="00B9590C">
              <w:rPr>
                <w:rFonts w:cs="Arial"/>
              </w:rPr>
              <w:t xml:space="preserve">In addition to the formal process of referring into the Integrated Front Door, Central Bedfordshire Council (CBC) has (and is): </w:t>
            </w:r>
          </w:p>
          <w:p w14:paraId="215FD7FB" w14:textId="77777777" w:rsidR="00B9590C" w:rsidRPr="00B9590C" w:rsidRDefault="00B9590C" w:rsidP="00F94620">
            <w:pPr>
              <w:rPr>
                <w:rFonts w:cs="Arial"/>
              </w:rPr>
            </w:pPr>
          </w:p>
          <w:p w14:paraId="74ED82A9" w14:textId="77777777" w:rsidR="00B9590C" w:rsidRPr="00B9590C" w:rsidRDefault="00B9590C" w:rsidP="00434E82">
            <w:pPr>
              <w:pStyle w:val="ListParagraph"/>
              <w:numPr>
                <w:ilvl w:val="0"/>
                <w:numId w:val="20"/>
              </w:numPr>
              <w:rPr>
                <w:rFonts w:cs="Arial"/>
              </w:rPr>
            </w:pPr>
            <w:r w:rsidRPr="00B9590C">
              <w:rPr>
                <w:rFonts w:cs="Arial"/>
              </w:rPr>
              <w:t>Implemented an internal process for Elected Members to alert senior managers of any information or concerns they may have.</w:t>
            </w:r>
          </w:p>
          <w:p w14:paraId="56BA7C5D" w14:textId="77777777" w:rsidR="00B9590C" w:rsidRPr="00B9590C" w:rsidRDefault="00B9590C" w:rsidP="00434E82">
            <w:pPr>
              <w:pStyle w:val="ListParagraph"/>
              <w:numPr>
                <w:ilvl w:val="0"/>
                <w:numId w:val="20"/>
              </w:numPr>
              <w:rPr>
                <w:rFonts w:cs="Arial"/>
              </w:rPr>
            </w:pPr>
            <w:r w:rsidRPr="00B9590C">
              <w:rPr>
                <w:rFonts w:cs="Arial"/>
              </w:rPr>
              <w:t xml:space="preserve">Undertaking Elected Members dip-sampling sessions in December 2024 to ensure they understand safeguarding and referral mechanisms. A follow-up session will be undertaken February 2025. </w:t>
            </w:r>
          </w:p>
          <w:p w14:paraId="4B41D613" w14:textId="77777777" w:rsidR="00B9590C" w:rsidRPr="00B9590C" w:rsidRDefault="00B9590C" w:rsidP="00F94620">
            <w:pPr>
              <w:pStyle w:val="ListParagraph"/>
              <w:rPr>
                <w:rFonts w:cs="Arial"/>
              </w:rPr>
            </w:pPr>
          </w:p>
        </w:tc>
      </w:tr>
      <w:tr w:rsidR="00B9590C" w:rsidRPr="00B9590C" w14:paraId="1A4A6755" w14:textId="77777777" w:rsidTr="00F45DB9">
        <w:tc>
          <w:tcPr>
            <w:tcW w:w="6516" w:type="dxa"/>
          </w:tcPr>
          <w:p w14:paraId="1F42E2D8" w14:textId="77777777" w:rsidR="00B9590C" w:rsidRPr="00CB7174" w:rsidRDefault="00B9590C" w:rsidP="00434E82">
            <w:pPr>
              <w:pStyle w:val="ListParagraph"/>
              <w:numPr>
                <w:ilvl w:val="0"/>
                <w:numId w:val="24"/>
              </w:numPr>
              <w:suppressAutoHyphens/>
              <w:autoSpaceDN w:val="0"/>
              <w:rPr>
                <w:rFonts w:eastAsia="Calibri" w:cs="Arial"/>
                <w:bCs/>
                <w:kern w:val="0"/>
                <w14:ligatures w14:val="none"/>
              </w:rPr>
            </w:pPr>
            <w:r w:rsidRPr="00CB7174">
              <w:rPr>
                <w:rFonts w:eastAsia="Calibri" w:cs="Arial"/>
                <w:bCs/>
                <w:kern w:val="0"/>
                <w14:ligatures w14:val="none"/>
              </w:rPr>
              <w:t xml:space="preserve">Progressing the practice learning in respect of: </w:t>
            </w:r>
          </w:p>
          <w:p w14:paraId="640548F1" w14:textId="77777777" w:rsidR="00B9590C" w:rsidRPr="00CB7174" w:rsidRDefault="00B9590C" w:rsidP="00F94620">
            <w:pPr>
              <w:suppressAutoHyphens/>
              <w:autoSpaceDN w:val="0"/>
              <w:rPr>
                <w:rFonts w:eastAsia="Calibri" w:cs="Arial"/>
                <w:bCs/>
                <w:kern w:val="0"/>
                <w14:ligatures w14:val="none"/>
              </w:rPr>
            </w:pPr>
          </w:p>
          <w:p w14:paraId="39CC228A" w14:textId="77777777" w:rsidR="00B9590C" w:rsidRPr="00CB7174" w:rsidRDefault="00B9590C" w:rsidP="00434E82">
            <w:pPr>
              <w:pStyle w:val="ListParagraph"/>
              <w:numPr>
                <w:ilvl w:val="0"/>
                <w:numId w:val="22"/>
              </w:numPr>
              <w:suppressAutoHyphens/>
              <w:autoSpaceDN w:val="0"/>
              <w:rPr>
                <w:rFonts w:eastAsia="Calibri" w:cs="Arial"/>
                <w:bCs/>
                <w:kern w:val="0"/>
                <w14:ligatures w14:val="none"/>
              </w:rPr>
            </w:pPr>
            <w:r w:rsidRPr="00CB7174">
              <w:rPr>
                <w:rFonts w:eastAsia="Calibri" w:cs="Arial"/>
                <w:bCs/>
                <w:kern w:val="0"/>
                <w14:ligatures w14:val="none"/>
              </w:rPr>
              <w:t>The child’s lived experiences</w:t>
            </w:r>
          </w:p>
          <w:p w14:paraId="6755CB91" w14:textId="77777777" w:rsidR="00B9590C" w:rsidRPr="00CB7174" w:rsidRDefault="00B9590C" w:rsidP="00434E82">
            <w:pPr>
              <w:pStyle w:val="ListParagraph"/>
              <w:numPr>
                <w:ilvl w:val="0"/>
                <w:numId w:val="22"/>
              </w:numPr>
              <w:suppressAutoHyphens/>
              <w:autoSpaceDN w:val="0"/>
              <w:rPr>
                <w:rFonts w:eastAsia="Calibri" w:cs="Arial"/>
                <w:bCs/>
                <w:kern w:val="0"/>
                <w14:ligatures w14:val="none"/>
              </w:rPr>
            </w:pPr>
            <w:r w:rsidRPr="00CB7174">
              <w:rPr>
                <w:rFonts w:eastAsia="Calibri" w:cs="Arial"/>
                <w:bCs/>
                <w:kern w:val="0"/>
                <w14:ligatures w14:val="none"/>
              </w:rPr>
              <w:t>Acting on children where the decision to home educate raises concerns</w:t>
            </w:r>
          </w:p>
          <w:p w14:paraId="616F65CC" w14:textId="77777777" w:rsidR="00B9590C" w:rsidRPr="00CB7174" w:rsidRDefault="00B9590C" w:rsidP="00434E82">
            <w:pPr>
              <w:pStyle w:val="ListParagraph"/>
              <w:numPr>
                <w:ilvl w:val="0"/>
                <w:numId w:val="22"/>
              </w:numPr>
              <w:suppressAutoHyphens/>
              <w:autoSpaceDN w:val="0"/>
              <w:rPr>
                <w:rFonts w:cs="Arial"/>
                <w:bCs/>
              </w:rPr>
            </w:pPr>
            <w:r w:rsidRPr="00CB7174">
              <w:rPr>
                <w:rFonts w:cs="Arial"/>
                <w:bCs/>
              </w:rPr>
              <w:t>Professional curiosity around changing presentations and disguised compliance</w:t>
            </w:r>
          </w:p>
          <w:p w14:paraId="09A12113" w14:textId="77777777" w:rsidR="00B9590C" w:rsidRPr="00CB7174" w:rsidRDefault="00B9590C" w:rsidP="00434E82">
            <w:pPr>
              <w:pStyle w:val="ListParagraph"/>
              <w:numPr>
                <w:ilvl w:val="0"/>
                <w:numId w:val="22"/>
              </w:numPr>
              <w:suppressAutoHyphens/>
              <w:autoSpaceDN w:val="0"/>
              <w:rPr>
                <w:rFonts w:cs="Arial"/>
                <w:bCs/>
              </w:rPr>
            </w:pPr>
            <w:r w:rsidRPr="00CB7174">
              <w:rPr>
                <w:rFonts w:eastAsia="Calibri" w:cs="Arial"/>
                <w:bCs/>
                <w:kern w:val="0"/>
                <w14:ligatures w14:val="none"/>
              </w:rPr>
              <w:t xml:space="preserve">Exploring cultural identity </w:t>
            </w:r>
          </w:p>
          <w:p w14:paraId="057E80D7" w14:textId="77777777" w:rsidR="00B9590C" w:rsidRPr="00B9590C" w:rsidRDefault="00B9590C" w:rsidP="00434E82">
            <w:pPr>
              <w:pStyle w:val="ListParagraph"/>
              <w:numPr>
                <w:ilvl w:val="0"/>
                <w:numId w:val="22"/>
              </w:numPr>
              <w:suppressAutoHyphens/>
              <w:autoSpaceDN w:val="0"/>
              <w:rPr>
                <w:rFonts w:cs="Arial"/>
              </w:rPr>
            </w:pPr>
            <w:r w:rsidRPr="00CB7174">
              <w:rPr>
                <w:rFonts w:cs="Arial"/>
                <w:bCs/>
              </w:rPr>
              <w:t>The role of Fathers and parental responsibility</w:t>
            </w:r>
            <w:r w:rsidRPr="00B9590C">
              <w:rPr>
                <w:rFonts w:cs="Arial"/>
              </w:rPr>
              <w:t xml:space="preserve"> </w:t>
            </w:r>
          </w:p>
        </w:tc>
        <w:tc>
          <w:tcPr>
            <w:tcW w:w="6662" w:type="dxa"/>
          </w:tcPr>
          <w:p w14:paraId="61216EA7" w14:textId="77777777" w:rsidR="00B9590C" w:rsidRPr="00B9590C" w:rsidRDefault="00B9590C" w:rsidP="00F94620">
            <w:pPr>
              <w:rPr>
                <w:rFonts w:cs="Arial"/>
                <w:b/>
                <w:bCs/>
              </w:rPr>
            </w:pPr>
            <w:r w:rsidRPr="00B9590C">
              <w:rPr>
                <w:rFonts w:cs="Arial"/>
                <w:b/>
                <w:bCs/>
              </w:rPr>
              <w:t>CBC Children and Families Service:</w:t>
            </w:r>
          </w:p>
          <w:p w14:paraId="5A9EDF7F" w14:textId="77777777" w:rsidR="00B9590C" w:rsidRPr="00B9590C" w:rsidRDefault="00B9590C" w:rsidP="00F94620">
            <w:pPr>
              <w:rPr>
                <w:rFonts w:cs="Arial"/>
              </w:rPr>
            </w:pPr>
            <w:r w:rsidRPr="00B9590C">
              <w:rPr>
                <w:rFonts w:cs="Arial"/>
              </w:rPr>
              <w:t xml:space="preserve">CBC Children and Families Service has undertaken, progressed and tested the learning as follows: </w:t>
            </w:r>
          </w:p>
          <w:p w14:paraId="1BF0FB62" w14:textId="77777777" w:rsidR="00B9590C" w:rsidRPr="00B9590C" w:rsidRDefault="00B9590C" w:rsidP="00F94620">
            <w:pPr>
              <w:rPr>
                <w:rFonts w:cs="Arial"/>
              </w:rPr>
            </w:pPr>
          </w:p>
          <w:p w14:paraId="06E895D4" w14:textId="77777777" w:rsidR="00B9590C" w:rsidRPr="00B9590C" w:rsidRDefault="00B9590C" w:rsidP="00434E82">
            <w:pPr>
              <w:pStyle w:val="ListParagraph"/>
              <w:numPr>
                <w:ilvl w:val="0"/>
                <w:numId w:val="19"/>
              </w:numPr>
              <w:rPr>
                <w:rFonts w:cs="Arial"/>
              </w:rPr>
            </w:pPr>
            <w:r w:rsidRPr="00B9590C">
              <w:rPr>
                <w:rFonts w:cs="Arial"/>
              </w:rPr>
              <w:t xml:space="preserve">All Managers workshops undertaken in July 2024, focussing on expediating referral information and the impact of children missing education (including Elected Home Educated children in ‘out of character’ circumstances). </w:t>
            </w:r>
          </w:p>
          <w:p w14:paraId="23C89479" w14:textId="77777777" w:rsidR="00B9590C" w:rsidRPr="00B9590C" w:rsidRDefault="00B9590C" w:rsidP="00434E82">
            <w:pPr>
              <w:pStyle w:val="ListParagraph"/>
              <w:numPr>
                <w:ilvl w:val="0"/>
                <w:numId w:val="19"/>
              </w:numPr>
              <w:rPr>
                <w:rFonts w:cs="Arial"/>
              </w:rPr>
            </w:pPr>
            <w:r w:rsidRPr="00B9590C">
              <w:rPr>
                <w:rFonts w:cs="Arial"/>
              </w:rPr>
              <w:t xml:space="preserve">Bespoke/thematic workshops August 2024, and October 2024 focussing on professional curiosity; analysis and assessment of known and unknown risks including cultural identity, the voice of the child, parental responsibility and the role of Fathers, safety and contingency planning and professional escalation. </w:t>
            </w:r>
          </w:p>
          <w:p w14:paraId="60F4B11C" w14:textId="77777777" w:rsidR="00B9590C" w:rsidRPr="00B9590C" w:rsidRDefault="00B9590C" w:rsidP="00434E82">
            <w:pPr>
              <w:pStyle w:val="ListParagraph"/>
              <w:numPr>
                <w:ilvl w:val="0"/>
                <w:numId w:val="19"/>
              </w:numPr>
              <w:rPr>
                <w:rFonts w:cs="Arial"/>
              </w:rPr>
            </w:pPr>
            <w:r w:rsidRPr="00B9590C">
              <w:rPr>
                <w:rFonts w:cs="Arial"/>
              </w:rPr>
              <w:t xml:space="preserve">Single and multiagency reflective sessions held in September 2024 to understand roles and responsibilities and impact. </w:t>
            </w:r>
          </w:p>
          <w:p w14:paraId="263B6022" w14:textId="77777777" w:rsidR="00B9590C" w:rsidRPr="00B9590C" w:rsidRDefault="00B9590C" w:rsidP="00434E82">
            <w:pPr>
              <w:pStyle w:val="ListParagraph"/>
              <w:numPr>
                <w:ilvl w:val="0"/>
                <w:numId w:val="19"/>
              </w:numPr>
              <w:rPr>
                <w:rFonts w:cs="Arial"/>
              </w:rPr>
            </w:pPr>
            <w:r w:rsidRPr="00B9590C">
              <w:rPr>
                <w:rFonts w:cs="Arial"/>
              </w:rPr>
              <w:lastRenderedPageBreak/>
              <w:t>Reflective session held with Senior Leadership Team in September, and October 2024 to understand the children’s lived experiences and the impact.</w:t>
            </w:r>
          </w:p>
          <w:p w14:paraId="4EE3AD7A" w14:textId="77777777" w:rsidR="00B9590C" w:rsidRPr="00B9590C" w:rsidRDefault="00B9590C" w:rsidP="00434E82">
            <w:pPr>
              <w:pStyle w:val="ListParagraph"/>
              <w:numPr>
                <w:ilvl w:val="0"/>
                <w:numId w:val="19"/>
              </w:numPr>
              <w:rPr>
                <w:rFonts w:cs="Arial"/>
              </w:rPr>
            </w:pPr>
            <w:r w:rsidRPr="00B9590C">
              <w:rPr>
                <w:rFonts w:cs="Arial"/>
              </w:rPr>
              <w:t>Reflections and key learning shared at the Director of Children’s Services (DCS) Roadshow November 2024.</w:t>
            </w:r>
          </w:p>
          <w:p w14:paraId="0F82F2D8" w14:textId="77777777" w:rsidR="00B9590C" w:rsidRPr="00B9590C" w:rsidRDefault="00B9590C" w:rsidP="00434E82">
            <w:pPr>
              <w:pStyle w:val="ListParagraph"/>
              <w:numPr>
                <w:ilvl w:val="0"/>
                <w:numId w:val="19"/>
              </w:numPr>
              <w:rPr>
                <w:rFonts w:cs="Arial"/>
              </w:rPr>
            </w:pPr>
            <w:r w:rsidRPr="00B9590C">
              <w:rPr>
                <w:rFonts w:cs="Arial"/>
              </w:rPr>
              <w:t xml:space="preserve">Reflective session held with the Extended Leadership Team (ELT) revisiting the learning November 2024. </w:t>
            </w:r>
          </w:p>
          <w:p w14:paraId="2DAB13EC" w14:textId="77777777" w:rsidR="00B9590C" w:rsidRPr="00B9590C" w:rsidRDefault="00B9590C" w:rsidP="00F94620">
            <w:pPr>
              <w:rPr>
                <w:rFonts w:cs="Arial"/>
              </w:rPr>
            </w:pPr>
          </w:p>
          <w:p w14:paraId="17281B34" w14:textId="77777777" w:rsidR="00B9590C" w:rsidRPr="00B9590C" w:rsidRDefault="00B9590C" w:rsidP="00F94620">
            <w:pPr>
              <w:rPr>
                <w:rFonts w:cs="Arial"/>
                <w:b/>
                <w:bCs/>
              </w:rPr>
            </w:pPr>
            <w:r w:rsidRPr="00B9590C">
              <w:rPr>
                <w:rFonts w:cs="Arial"/>
                <w:b/>
                <w:bCs/>
              </w:rPr>
              <w:t xml:space="preserve">Independent Quality Assurance activity: </w:t>
            </w:r>
          </w:p>
          <w:p w14:paraId="78A864E4" w14:textId="77777777" w:rsidR="00B9590C" w:rsidRPr="00B9590C" w:rsidRDefault="00B9590C" w:rsidP="00434E82">
            <w:pPr>
              <w:pStyle w:val="ListParagraph"/>
              <w:numPr>
                <w:ilvl w:val="0"/>
                <w:numId w:val="21"/>
              </w:numPr>
              <w:rPr>
                <w:rFonts w:cs="Arial"/>
              </w:rPr>
            </w:pPr>
            <w:r w:rsidRPr="00B9590C">
              <w:rPr>
                <w:rFonts w:cs="Arial"/>
              </w:rPr>
              <w:t>Weekly Integrated Front Door cross service and multiagency dip-sampling to test threshold decisions.</w:t>
            </w:r>
          </w:p>
          <w:p w14:paraId="6F337836" w14:textId="77777777" w:rsidR="00B9590C" w:rsidRPr="00B9590C" w:rsidRDefault="00B9590C" w:rsidP="00434E82">
            <w:pPr>
              <w:pStyle w:val="ListParagraph"/>
              <w:numPr>
                <w:ilvl w:val="0"/>
                <w:numId w:val="21"/>
              </w:numPr>
              <w:rPr>
                <w:rFonts w:cs="Arial"/>
              </w:rPr>
            </w:pPr>
            <w:r w:rsidRPr="00B9590C">
              <w:rPr>
                <w:rFonts w:cs="Arial"/>
              </w:rPr>
              <w:t>Quality assurance of the ‘Stop, Pause, Think, Do Review’ process testing professional curiosity, consent (or lack of), gathering relevant information, analysis and decision making.</w:t>
            </w:r>
          </w:p>
          <w:p w14:paraId="24979359" w14:textId="77777777" w:rsidR="00B9590C" w:rsidRPr="00B9590C" w:rsidRDefault="00B9590C" w:rsidP="00434E82">
            <w:pPr>
              <w:pStyle w:val="ListParagraph"/>
              <w:numPr>
                <w:ilvl w:val="0"/>
                <w:numId w:val="21"/>
              </w:numPr>
              <w:rPr>
                <w:rFonts w:cs="Arial"/>
              </w:rPr>
            </w:pPr>
            <w:r w:rsidRPr="00B9590C">
              <w:rPr>
                <w:rFonts w:cs="Arial"/>
              </w:rPr>
              <w:t xml:space="preserve">Holistic monthly manager audits undertaken to evaluate all domains of the child’s lived experience. </w:t>
            </w:r>
          </w:p>
          <w:p w14:paraId="65FC8E2D" w14:textId="77777777" w:rsidR="00B9590C" w:rsidRPr="00B9590C" w:rsidRDefault="00B9590C" w:rsidP="00434E82">
            <w:pPr>
              <w:pStyle w:val="ListParagraph"/>
              <w:numPr>
                <w:ilvl w:val="0"/>
                <w:numId w:val="21"/>
              </w:numPr>
              <w:rPr>
                <w:rFonts w:cs="Arial"/>
              </w:rPr>
            </w:pPr>
            <w:r w:rsidRPr="00B9590C">
              <w:rPr>
                <w:rFonts w:cs="Arial"/>
              </w:rPr>
              <w:t xml:space="preserve">Schools Designated Safeguarding Leads (DSL) dip-sampling and reflective workshop; focussing on roles and responsibilities, thresholds and threshold decisions, what makes an analytical referral and professional escalation processes - November 2024. </w:t>
            </w:r>
          </w:p>
          <w:p w14:paraId="24E7542D" w14:textId="77777777" w:rsidR="00B9590C" w:rsidRPr="00B9590C" w:rsidRDefault="00B9590C" w:rsidP="00434E82">
            <w:pPr>
              <w:pStyle w:val="ListParagraph"/>
              <w:numPr>
                <w:ilvl w:val="0"/>
                <w:numId w:val="21"/>
              </w:numPr>
              <w:rPr>
                <w:rFonts w:cs="Arial"/>
              </w:rPr>
            </w:pPr>
            <w:r w:rsidRPr="00B9590C">
              <w:rPr>
                <w:rFonts w:cs="Arial"/>
              </w:rPr>
              <w:t>Dissemination of escalation policy and processes to all DSLs.</w:t>
            </w:r>
          </w:p>
          <w:p w14:paraId="5995178A" w14:textId="77777777" w:rsidR="00B9590C" w:rsidRPr="00B9590C" w:rsidRDefault="00B9590C" w:rsidP="00F94620">
            <w:pPr>
              <w:rPr>
                <w:rFonts w:cs="Arial"/>
              </w:rPr>
            </w:pPr>
          </w:p>
          <w:p w14:paraId="47B4F721" w14:textId="77777777" w:rsidR="00B9590C" w:rsidRPr="00B9590C" w:rsidRDefault="00B9590C" w:rsidP="00F94620">
            <w:pPr>
              <w:rPr>
                <w:rFonts w:cs="Arial"/>
                <w:b/>
                <w:bCs/>
              </w:rPr>
            </w:pPr>
            <w:r w:rsidRPr="00B9590C">
              <w:rPr>
                <w:rFonts w:cs="Arial"/>
                <w:b/>
                <w:bCs/>
              </w:rPr>
              <w:t>CBC Access and Inclusion Service:</w:t>
            </w:r>
          </w:p>
          <w:p w14:paraId="04797958" w14:textId="77777777" w:rsidR="00B9590C" w:rsidRPr="00B9590C" w:rsidRDefault="00B9590C" w:rsidP="00F94620">
            <w:pPr>
              <w:rPr>
                <w:rFonts w:cs="Arial"/>
              </w:rPr>
            </w:pPr>
            <w:r w:rsidRPr="00B9590C">
              <w:rPr>
                <w:rFonts w:cs="Arial"/>
              </w:rPr>
              <w:t>In relation to EHE and CME processes,</w:t>
            </w:r>
          </w:p>
          <w:p w14:paraId="4330DBF7" w14:textId="77777777" w:rsidR="00B9590C" w:rsidRPr="00B9590C" w:rsidRDefault="00B9590C" w:rsidP="00F94620">
            <w:pPr>
              <w:rPr>
                <w:rFonts w:cs="Arial"/>
              </w:rPr>
            </w:pPr>
            <w:r w:rsidRPr="00B9590C">
              <w:rPr>
                <w:rFonts w:cs="Arial"/>
              </w:rPr>
              <w:t>The EHE Team will:</w:t>
            </w:r>
          </w:p>
          <w:p w14:paraId="44737902" w14:textId="77777777" w:rsidR="00B9590C" w:rsidRPr="00B9590C" w:rsidRDefault="00B9590C" w:rsidP="00F94620">
            <w:pPr>
              <w:rPr>
                <w:rFonts w:cs="Arial"/>
              </w:rPr>
            </w:pPr>
          </w:p>
          <w:p w14:paraId="1CF6193F" w14:textId="77777777" w:rsidR="00B9590C" w:rsidRPr="00B9590C" w:rsidRDefault="00B9590C" w:rsidP="00434E82">
            <w:pPr>
              <w:pStyle w:val="ListParagraph"/>
              <w:numPr>
                <w:ilvl w:val="0"/>
                <w:numId w:val="25"/>
              </w:numPr>
              <w:rPr>
                <w:rFonts w:cs="Arial"/>
              </w:rPr>
            </w:pPr>
            <w:r w:rsidRPr="00B9590C">
              <w:rPr>
                <w:rFonts w:cs="Arial"/>
              </w:rPr>
              <w:lastRenderedPageBreak/>
              <w:t xml:space="preserve">Contact the Integrated Front Door (IFD) by email with a copy of the referral if there has been a contact and referral in the last 3 months. </w:t>
            </w:r>
          </w:p>
          <w:p w14:paraId="28333F5C" w14:textId="77777777" w:rsidR="00B9590C" w:rsidRPr="00B9590C" w:rsidRDefault="00B9590C" w:rsidP="00F94620">
            <w:pPr>
              <w:rPr>
                <w:rFonts w:cs="Arial"/>
              </w:rPr>
            </w:pPr>
          </w:p>
          <w:p w14:paraId="51126C1C" w14:textId="77777777" w:rsidR="00B9590C" w:rsidRPr="00B9590C" w:rsidRDefault="00B9590C" w:rsidP="00434E82">
            <w:pPr>
              <w:pStyle w:val="ListParagraph"/>
              <w:numPr>
                <w:ilvl w:val="0"/>
                <w:numId w:val="25"/>
              </w:numPr>
              <w:rPr>
                <w:rFonts w:cs="Arial"/>
              </w:rPr>
            </w:pPr>
            <w:r w:rsidRPr="00B9590C">
              <w:rPr>
                <w:rFonts w:cs="Arial"/>
              </w:rPr>
              <w:t>Contact previous LA if parent informs EHE team they are EHE and moved into area and request any relevant information.</w:t>
            </w:r>
          </w:p>
          <w:p w14:paraId="4ACA5725" w14:textId="77777777" w:rsidR="00B9590C" w:rsidRPr="00B9590C" w:rsidRDefault="00B9590C" w:rsidP="00F94620">
            <w:pPr>
              <w:rPr>
                <w:rFonts w:cs="Arial"/>
              </w:rPr>
            </w:pPr>
          </w:p>
          <w:p w14:paraId="4F7E12A3" w14:textId="77777777" w:rsidR="00B9590C" w:rsidRPr="00B9590C" w:rsidRDefault="00B9590C" w:rsidP="00434E82">
            <w:pPr>
              <w:pStyle w:val="ListParagraph"/>
              <w:numPr>
                <w:ilvl w:val="0"/>
                <w:numId w:val="25"/>
              </w:numPr>
              <w:rPr>
                <w:rFonts w:cs="Arial"/>
              </w:rPr>
            </w:pPr>
            <w:r w:rsidRPr="00B9590C">
              <w:rPr>
                <w:rFonts w:cs="Arial"/>
              </w:rPr>
              <w:t>Update EHE review period document</w:t>
            </w:r>
          </w:p>
          <w:p w14:paraId="329DDC25" w14:textId="77777777" w:rsidR="00B9590C" w:rsidRPr="00B9590C" w:rsidRDefault="00B9590C" w:rsidP="00F94620">
            <w:pPr>
              <w:rPr>
                <w:rFonts w:cs="Arial"/>
                <w:b/>
                <w:bCs/>
              </w:rPr>
            </w:pPr>
          </w:p>
          <w:p w14:paraId="6D13449D" w14:textId="77777777" w:rsidR="00B9590C" w:rsidRPr="00B9590C" w:rsidRDefault="00B9590C" w:rsidP="00434E82">
            <w:pPr>
              <w:pStyle w:val="ListParagraph"/>
              <w:numPr>
                <w:ilvl w:val="0"/>
                <w:numId w:val="25"/>
              </w:numPr>
              <w:rPr>
                <w:rFonts w:cs="Arial"/>
              </w:rPr>
            </w:pPr>
            <w:r w:rsidRPr="00B9590C">
              <w:rPr>
                <w:rFonts w:cs="Arial"/>
              </w:rPr>
              <w:t>CME/EHE will create some video training by the end of April 2025</w:t>
            </w:r>
          </w:p>
          <w:p w14:paraId="173C3EB0" w14:textId="77777777" w:rsidR="00B9590C" w:rsidRPr="00B9590C" w:rsidRDefault="00B9590C" w:rsidP="00F94620">
            <w:pPr>
              <w:rPr>
                <w:rFonts w:cs="Arial"/>
              </w:rPr>
            </w:pPr>
          </w:p>
          <w:p w14:paraId="7D3D9EF4" w14:textId="77777777" w:rsidR="00B9590C" w:rsidRPr="00B9590C" w:rsidRDefault="00B9590C" w:rsidP="00434E82">
            <w:pPr>
              <w:pStyle w:val="ListParagraph"/>
              <w:numPr>
                <w:ilvl w:val="0"/>
                <w:numId w:val="25"/>
              </w:numPr>
              <w:rPr>
                <w:rFonts w:cs="Arial"/>
              </w:rPr>
            </w:pPr>
            <w:r w:rsidRPr="00B9590C">
              <w:rPr>
                <w:rFonts w:cs="Arial"/>
              </w:rPr>
              <w:t>The majority of CME is unplanned, although in cases like this were the EHE appears unsatisfactory it is a planned opening of CME with a School attendance order (SAO), we have significant numbers of children with 3 + SAO breeches. We hold a CME</w:t>
            </w:r>
            <w:r w:rsidRPr="00B9590C">
              <w:rPr>
                <w:rFonts w:cs="Arial"/>
                <w:b/>
                <w:bCs/>
              </w:rPr>
              <w:t xml:space="preserve"> </w:t>
            </w:r>
            <w:r w:rsidRPr="00B9590C">
              <w:rPr>
                <w:rFonts w:cs="Arial"/>
              </w:rPr>
              <w:t>case review panel every 6 weeks for</w:t>
            </w:r>
            <w:r w:rsidRPr="00B9590C">
              <w:rPr>
                <w:rFonts w:cs="Arial"/>
                <w:b/>
                <w:bCs/>
              </w:rPr>
              <w:t xml:space="preserve"> </w:t>
            </w:r>
            <w:r w:rsidRPr="00B9590C">
              <w:rPr>
                <w:rFonts w:cs="Arial"/>
              </w:rPr>
              <w:t xml:space="preserve">children over 12 weeks CME. We intend to invite an Integrated Front Door/Hub member to attend these. </w:t>
            </w:r>
          </w:p>
          <w:p w14:paraId="4007FF9C" w14:textId="77777777" w:rsidR="00B9590C" w:rsidRPr="00B9590C" w:rsidRDefault="00B9590C" w:rsidP="00F94620">
            <w:pPr>
              <w:rPr>
                <w:rFonts w:cs="Arial"/>
              </w:rPr>
            </w:pPr>
          </w:p>
          <w:p w14:paraId="0DE5DF03" w14:textId="77777777" w:rsidR="00B9590C" w:rsidRPr="00B9590C" w:rsidRDefault="00B9590C" w:rsidP="00434E82">
            <w:pPr>
              <w:pStyle w:val="ListParagraph"/>
              <w:numPr>
                <w:ilvl w:val="0"/>
                <w:numId w:val="25"/>
              </w:numPr>
              <w:rPr>
                <w:rFonts w:cs="Arial"/>
              </w:rPr>
            </w:pPr>
            <w:r w:rsidRPr="00B9590C">
              <w:rPr>
                <w:rFonts w:cs="Arial"/>
              </w:rPr>
              <w:t xml:space="preserve">When we have an EHE referral from out of county, unless we have clear EHE information and the parental letter requesting EHE, we will open as CME for enquiries. </w:t>
            </w:r>
          </w:p>
          <w:p w14:paraId="46A939AD" w14:textId="77777777" w:rsidR="00B9590C" w:rsidRPr="00B9590C" w:rsidRDefault="00B9590C" w:rsidP="00F94620">
            <w:pPr>
              <w:rPr>
                <w:rFonts w:cs="Arial"/>
                <w:b/>
                <w:bCs/>
              </w:rPr>
            </w:pPr>
          </w:p>
          <w:p w14:paraId="6516758A" w14:textId="77777777" w:rsidR="00B9590C" w:rsidRPr="00B9590C" w:rsidRDefault="00B9590C" w:rsidP="00F94620">
            <w:pPr>
              <w:rPr>
                <w:rFonts w:cs="Arial"/>
              </w:rPr>
            </w:pPr>
            <w:r w:rsidRPr="00B9590C">
              <w:rPr>
                <w:rFonts w:cs="Arial"/>
              </w:rPr>
              <w:t>Things that would help the EHE/CME team:</w:t>
            </w:r>
          </w:p>
          <w:p w14:paraId="29A82B37" w14:textId="77777777" w:rsidR="00B9590C" w:rsidRPr="00B9590C" w:rsidRDefault="00B9590C" w:rsidP="00F94620">
            <w:pPr>
              <w:rPr>
                <w:rFonts w:cs="Arial"/>
              </w:rPr>
            </w:pPr>
          </w:p>
          <w:p w14:paraId="338EAF07" w14:textId="77777777" w:rsidR="00B9590C" w:rsidRPr="00B9590C" w:rsidRDefault="00B9590C" w:rsidP="00434E82">
            <w:pPr>
              <w:pStyle w:val="ListParagraph"/>
              <w:numPr>
                <w:ilvl w:val="0"/>
                <w:numId w:val="26"/>
              </w:numPr>
              <w:rPr>
                <w:rFonts w:cs="Arial"/>
              </w:rPr>
            </w:pPr>
            <w:r w:rsidRPr="00B9590C">
              <w:rPr>
                <w:rFonts w:cs="Arial"/>
              </w:rPr>
              <w:t xml:space="preserve">For every contact to the IFD/hub, the referrer is asked for education information and if provided as a school the name of the school recorded. </w:t>
            </w:r>
          </w:p>
          <w:p w14:paraId="03DD756A" w14:textId="77777777" w:rsidR="00B9590C" w:rsidRPr="00B9590C" w:rsidRDefault="00B9590C" w:rsidP="00434E82">
            <w:pPr>
              <w:pStyle w:val="ListParagraph"/>
              <w:numPr>
                <w:ilvl w:val="0"/>
                <w:numId w:val="26"/>
              </w:numPr>
              <w:rPr>
                <w:rFonts w:cs="Arial"/>
              </w:rPr>
            </w:pPr>
            <w:r w:rsidRPr="00B9590C">
              <w:rPr>
                <w:rFonts w:cs="Arial"/>
              </w:rPr>
              <w:lastRenderedPageBreak/>
              <w:t>Consideration of educational neglect as part of safeguarding</w:t>
            </w:r>
          </w:p>
          <w:p w14:paraId="61EE1D20" w14:textId="77777777" w:rsidR="00B9590C" w:rsidRPr="00B9590C" w:rsidRDefault="00B9590C" w:rsidP="00434E82">
            <w:pPr>
              <w:pStyle w:val="ListParagraph"/>
              <w:numPr>
                <w:ilvl w:val="0"/>
                <w:numId w:val="26"/>
              </w:numPr>
              <w:rPr>
                <w:rFonts w:cs="Arial"/>
              </w:rPr>
            </w:pPr>
            <w:r w:rsidRPr="00B9590C">
              <w:rPr>
                <w:rFonts w:cs="Arial"/>
              </w:rPr>
              <w:t xml:space="preserve">The IFD/hub to check tribal for every referral if the child is EHE/CME and prompt a case discussion with the CME/EHE team. </w:t>
            </w:r>
          </w:p>
          <w:p w14:paraId="06E0489E" w14:textId="77777777" w:rsidR="00B9590C" w:rsidRPr="00B9590C" w:rsidRDefault="00B9590C" w:rsidP="00F94620">
            <w:pPr>
              <w:rPr>
                <w:rFonts w:cs="Arial"/>
              </w:rPr>
            </w:pPr>
          </w:p>
          <w:p w14:paraId="654E8FC4" w14:textId="77777777" w:rsidR="00B9590C" w:rsidRPr="00B9590C" w:rsidRDefault="00B9590C" w:rsidP="00F94620">
            <w:pPr>
              <w:rPr>
                <w:rFonts w:cs="Arial"/>
              </w:rPr>
            </w:pPr>
            <w:r w:rsidRPr="00B9590C">
              <w:rPr>
                <w:rFonts w:cs="Arial"/>
              </w:rPr>
              <w:t>In relation to the lived experiences of the young people in this case, the records stated the Elective Home Education team were informed; however, they advised that it was unlikely they would be home visiting, which was a missed opportunity to understand the children’s lived experiences.</w:t>
            </w:r>
          </w:p>
          <w:p w14:paraId="11EE3F27" w14:textId="77777777" w:rsidR="00B9590C" w:rsidRPr="00B9590C" w:rsidRDefault="00B9590C" w:rsidP="00F94620">
            <w:pPr>
              <w:rPr>
                <w:rFonts w:cs="Arial"/>
              </w:rPr>
            </w:pPr>
          </w:p>
          <w:p w14:paraId="7BF972B0" w14:textId="77777777" w:rsidR="00B9590C" w:rsidRPr="00B9590C" w:rsidRDefault="00B9590C" w:rsidP="00F94620">
            <w:pPr>
              <w:rPr>
                <w:rFonts w:cs="Arial"/>
              </w:rPr>
            </w:pPr>
            <w:r w:rsidRPr="00B9590C">
              <w:rPr>
                <w:rFonts w:cs="Arial"/>
              </w:rPr>
              <w:t xml:space="preserve">The EHE Team don’t have a right to visit families at home or meet with the children. As this mother made clear she would engage although via email and we had written EHE information initially education appeared suitable. </w:t>
            </w:r>
          </w:p>
          <w:p w14:paraId="2BB1BAA2" w14:textId="77777777" w:rsidR="00B9590C" w:rsidRPr="00B9590C" w:rsidRDefault="00B9590C" w:rsidP="00F94620">
            <w:pPr>
              <w:rPr>
                <w:rFonts w:cs="Arial"/>
              </w:rPr>
            </w:pPr>
          </w:p>
          <w:p w14:paraId="5C519385" w14:textId="77777777" w:rsidR="00B9590C" w:rsidRPr="00B9590C" w:rsidRDefault="00B9590C" w:rsidP="00F94620">
            <w:pPr>
              <w:rPr>
                <w:rFonts w:cs="Arial"/>
              </w:rPr>
            </w:pPr>
            <w:r w:rsidRPr="00B9590C">
              <w:rPr>
                <w:rFonts w:cs="Arial"/>
              </w:rPr>
              <w:t xml:space="preserve">The EHE team always tell schools/professionals that we can’t safeguard/visit/see children/complete welfare checks because of the powers given to us under the education act. We advise them to refer to social care if they require these actions.   </w:t>
            </w:r>
          </w:p>
          <w:p w14:paraId="409537C6" w14:textId="77777777" w:rsidR="00B9590C" w:rsidRPr="00B9590C" w:rsidRDefault="00B9590C" w:rsidP="00F94620">
            <w:pPr>
              <w:rPr>
                <w:rFonts w:cs="Arial"/>
              </w:rPr>
            </w:pPr>
          </w:p>
          <w:p w14:paraId="37897455" w14:textId="77777777" w:rsidR="00B9590C" w:rsidRPr="00B9590C" w:rsidRDefault="00B9590C" w:rsidP="00F94620">
            <w:pPr>
              <w:rPr>
                <w:rFonts w:cs="Arial"/>
              </w:rPr>
            </w:pPr>
            <w:r w:rsidRPr="00B9590C">
              <w:rPr>
                <w:rFonts w:cs="Arial"/>
              </w:rPr>
              <w:t>We will be tightening the review period document which could lead to more frequent contacts although these may be brief and by letter.</w:t>
            </w:r>
          </w:p>
          <w:p w14:paraId="2F40ACB5" w14:textId="77777777" w:rsidR="00B9590C" w:rsidRPr="00B9590C" w:rsidRDefault="00B9590C" w:rsidP="00F94620">
            <w:pPr>
              <w:rPr>
                <w:rFonts w:cs="Arial"/>
              </w:rPr>
            </w:pPr>
          </w:p>
          <w:p w14:paraId="5F2E6EB3" w14:textId="77777777" w:rsidR="00B9590C" w:rsidRPr="00B9590C" w:rsidRDefault="00B9590C" w:rsidP="00F94620">
            <w:pPr>
              <w:rPr>
                <w:rFonts w:cs="Arial"/>
              </w:rPr>
            </w:pPr>
            <w:r w:rsidRPr="00B9590C">
              <w:rPr>
                <w:rFonts w:cs="Arial"/>
              </w:rPr>
              <w:t>In relation to the roles of fathers and parental responsibility, the Access and Referral Team will continue to contact both parents.</w:t>
            </w:r>
          </w:p>
          <w:p w14:paraId="1359A5CB" w14:textId="77777777" w:rsidR="00B9590C" w:rsidRPr="00B9590C" w:rsidRDefault="00B9590C" w:rsidP="00F94620">
            <w:pPr>
              <w:rPr>
                <w:rFonts w:cs="Arial"/>
              </w:rPr>
            </w:pPr>
          </w:p>
          <w:p w14:paraId="713A0B46" w14:textId="77777777" w:rsidR="00B9590C" w:rsidRPr="00B9590C" w:rsidRDefault="00B9590C" w:rsidP="00F94620">
            <w:pPr>
              <w:rPr>
                <w:rFonts w:cs="Arial"/>
                <w:b/>
                <w:bCs/>
              </w:rPr>
            </w:pPr>
            <w:r w:rsidRPr="00B9590C">
              <w:rPr>
                <w:rFonts w:cs="Arial"/>
                <w:b/>
                <w:bCs/>
              </w:rPr>
              <w:lastRenderedPageBreak/>
              <w:t>Cambridgeshire Community Services:</w:t>
            </w:r>
          </w:p>
          <w:p w14:paraId="5ACF74EA" w14:textId="77777777" w:rsidR="00B9590C" w:rsidRPr="00B9590C" w:rsidRDefault="00B9590C" w:rsidP="00F94620">
            <w:pPr>
              <w:rPr>
                <w:rFonts w:cs="Arial"/>
              </w:rPr>
            </w:pPr>
            <w:r w:rsidRPr="00B9590C">
              <w:rPr>
                <w:rFonts w:cs="Arial"/>
              </w:rPr>
              <w:t>The lived experience of the child is a focus of much of the partnerships work with ‘day in the life’ tools being used by this agency and others. Cambridgeshire Community Services also has a ‘think family’ approach and this is ongoing work within community health services.</w:t>
            </w:r>
          </w:p>
          <w:p w14:paraId="63C511D8" w14:textId="77777777" w:rsidR="00B9590C" w:rsidRPr="00B9590C" w:rsidRDefault="00B9590C" w:rsidP="00F94620">
            <w:pPr>
              <w:pStyle w:val="ListParagraph"/>
              <w:rPr>
                <w:rFonts w:cs="Arial"/>
              </w:rPr>
            </w:pPr>
          </w:p>
        </w:tc>
      </w:tr>
      <w:tr w:rsidR="00B9590C" w:rsidRPr="00B9590C" w14:paraId="296795F3" w14:textId="77777777" w:rsidTr="00F45DB9">
        <w:tc>
          <w:tcPr>
            <w:tcW w:w="13178" w:type="dxa"/>
            <w:gridSpan w:val="2"/>
            <w:shd w:val="clear" w:color="auto" w:fill="E8E8E8" w:themeFill="background2"/>
          </w:tcPr>
          <w:p w14:paraId="336AF5E1" w14:textId="77777777" w:rsidR="00B9590C" w:rsidRPr="00B9590C" w:rsidRDefault="00B9590C" w:rsidP="00F94620">
            <w:pPr>
              <w:rPr>
                <w:rFonts w:cs="Arial"/>
              </w:rPr>
            </w:pPr>
            <w:r w:rsidRPr="00B9590C">
              <w:rPr>
                <w:rFonts w:cs="Arial"/>
                <w:b/>
                <w:bCs/>
              </w:rPr>
              <w:lastRenderedPageBreak/>
              <w:t>CAFCASS</w:t>
            </w:r>
          </w:p>
        </w:tc>
      </w:tr>
      <w:tr w:rsidR="00B9590C" w:rsidRPr="00B9590C" w14:paraId="40A26135" w14:textId="77777777" w:rsidTr="00F45DB9">
        <w:tc>
          <w:tcPr>
            <w:tcW w:w="6516" w:type="dxa"/>
          </w:tcPr>
          <w:p w14:paraId="05F0639F" w14:textId="77777777" w:rsidR="00B9590C" w:rsidRPr="00CB7174" w:rsidRDefault="00B9590C" w:rsidP="00434E82">
            <w:pPr>
              <w:pStyle w:val="ListParagraph"/>
              <w:numPr>
                <w:ilvl w:val="0"/>
                <w:numId w:val="24"/>
              </w:numPr>
              <w:suppressAutoHyphens/>
              <w:autoSpaceDN w:val="0"/>
              <w:rPr>
                <w:rFonts w:cs="Arial"/>
              </w:rPr>
            </w:pPr>
            <w:r w:rsidRPr="00CB7174">
              <w:rPr>
                <w:rFonts w:eastAsia="Calibri" w:cs="Arial"/>
                <w:kern w:val="0"/>
                <w14:ligatures w14:val="none"/>
              </w:rPr>
              <w:t>Identifying and acting on risk to children as soon as they arise: Connecting key information that increases risks to children and referring to the Local Authority if professionals (the Family Court Advisor in this case) cannot contact relevant adults (Mother in this case).</w:t>
            </w:r>
          </w:p>
        </w:tc>
        <w:tc>
          <w:tcPr>
            <w:tcW w:w="6662" w:type="dxa"/>
          </w:tcPr>
          <w:p w14:paraId="722A8427" w14:textId="77777777" w:rsidR="00B9590C" w:rsidRPr="00B9590C" w:rsidRDefault="00B9590C" w:rsidP="00F94620">
            <w:pPr>
              <w:rPr>
                <w:rFonts w:cs="Arial"/>
              </w:rPr>
            </w:pPr>
            <w:r w:rsidRPr="00B9590C">
              <w:rPr>
                <w:rFonts w:cs="Arial"/>
              </w:rPr>
              <w:t>CAFCASS have a policy and expectation that where there is an identified risk, a referral should be made to the relevant local authority Children’s Services. On reflection following the rapid review, we feel this was a case that should have been considered for a referral. Staff have been reminded this policy/expectation.</w:t>
            </w:r>
          </w:p>
          <w:p w14:paraId="641CD19D" w14:textId="77777777" w:rsidR="00B9590C" w:rsidRPr="00B9590C" w:rsidRDefault="00B9590C" w:rsidP="00F94620">
            <w:pPr>
              <w:rPr>
                <w:rFonts w:cs="Arial"/>
              </w:rPr>
            </w:pPr>
          </w:p>
        </w:tc>
      </w:tr>
      <w:tr w:rsidR="00B9590C" w:rsidRPr="00B9590C" w14:paraId="05D8C98B" w14:textId="77777777" w:rsidTr="00F45DB9">
        <w:tc>
          <w:tcPr>
            <w:tcW w:w="13178" w:type="dxa"/>
            <w:gridSpan w:val="2"/>
            <w:shd w:val="clear" w:color="auto" w:fill="E8E8E8" w:themeFill="background2"/>
          </w:tcPr>
          <w:p w14:paraId="3077FAAF" w14:textId="77777777" w:rsidR="00B9590C" w:rsidRPr="00B9590C" w:rsidRDefault="00B9590C" w:rsidP="00F94620">
            <w:pPr>
              <w:rPr>
                <w:rFonts w:cs="Arial"/>
                <w:b/>
                <w:bCs/>
              </w:rPr>
            </w:pPr>
            <w:r w:rsidRPr="00B9590C">
              <w:rPr>
                <w:rFonts w:cs="Arial"/>
                <w:b/>
                <w:bCs/>
              </w:rPr>
              <w:t>Police</w:t>
            </w:r>
          </w:p>
        </w:tc>
      </w:tr>
      <w:tr w:rsidR="00B9590C" w:rsidRPr="00B9590C" w14:paraId="3314F6F1" w14:textId="77777777" w:rsidTr="00F45DB9">
        <w:tc>
          <w:tcPr>
            <w:tcW w:w="6516" w:type="dxa"/>
          </w:tcPr>
          <w:p w14:paraId="68B89549" w14:textId="77777777" w:rsidR="00B9590C" w:rsidRPr="00CB7174" w:rsidRDefault="00B9590C" w:rsidP="00434E82">
            <w:pPr>
              <w:pStyle w:val="ListParagraph"/>
              <w:numPr>
                <w:ilvl w:val="0"/>
                <w:numId w:val="24"/>
              </w:numPr>
              <w:suppressAutoHyphens/>
              <w:autoSpaceDN w:val="0"/>
              <w:rPr>
                <w:rFonts w:eastAsia="Calibri" w:cs="Arial"/>
                <w:kern w:val="0"/>
                <w14:ligatures w14:val="none"/>
              </w:rPr>
            </w:pPr>
            <w:r w:rsidRPr="00CB7174">
              <w:rPr>
                <w:rFonts w:eastAsia="Calibri" w:cs="Arial"/>
                <w:kern w:val="0"/>
                <w14:ligatures w14:val="none"/>
              </w:rPr>
              <w:t>Supporting Children and Families in welfare checks as soon as significant harm is suspected</w:t>
            </w:r>
          </w:p>
          <w:p w14:paraId="0C440FC7" w14:textId="77777777" w:rsidR="00B9590C" w:rsidRPr="00B9590C" w:rsidRDefault="00B9590C" w:rsidP="00F94620">
            <w:pPr>
              <w:suppressAutoHyphens/>
              <w:autoSpaceDN w:val="0"/>
              <w:rPr>
                <w:rFonts w:cs="Arial"/>
              </w:rPr>
            </w:pPr>
          </w:p>
        </w:tc>
        <w:tc>
          <w:tcPr>
            <w:tcW w:w="6662" w:type="dxa"/>
          </w:tcPr>
          <w:p w14:paraId="2A1DFB3E" w14:textId="77777777" w:rsidR="00B9590C" w:rsidRPr="00B9590C" w:rsidRDefault="00B9590C" w:rsidP="00F94620">
            <w:pPr>
              <w:rPr>
                <w:rFonts w:cs="Arial"/>
              </w:rPr>
            </w:pPr>
            <w:r w:rsidRPr="00B9590C">
              <w:rPr>
                <w:rFonts w:cs="Arial"/>
              </w:rPr>
              <w:t>All of the staff and officers (and their line management) involved in the initial decision for police not to attend when this was first reported to police on 22/07/24 have been made aware that the risks as described by CSC ought to have resulted in attendance at that point. They have been made aware of the outcome the following day to help them better understand the risk to the children. In addition, a process will be introduced where CSC should request an urgent strategy meeting with the Police Public Protection Unit Hub and seek agreement for a joint s47 and joint visit.</w:t>
            </w:r>
          </w:p>
          <w:p w14:paraId="5B3C4AF8" w14:textId="77777777" w:rsidR="00B9590C" w:rsidRPr="00B9590C" w:rsidRDefault="00B9590C" w:rsidP="00F94620">
            <w:pPr>
              <w:rPr>
                <w:rFonts w:cs="Arial"/>
              </w:rPr>
            </w:pPr>
          </w:p>
        </w:tc>
      </w:tr>
      <w:tr w:rsidR="00B9590C" w:rsidRPr="00B9590C" w14:paraId="5FBF6DB5" w14:textId="77777777" w:rsidTr="00F45DB9">
        <w:tc>
          <w:tcPr>
            <w:tcW w:w="13178" w:type="dxa"/>
            <w:gridSpan w:val="2"/>
            <w:shd w:val="clear" w:color="auto" w:fill="E8E8E8" w:themeFill="background2"/>
          </w:tcPr>
          <w:p w14:paraId="46525624" w14:textId="77777777" w:rsidR="00B9590C" w:rsidRPr="00B9590C" w:rsidRDefault="00B9590C" w:rsidP="00F94620">
            <w:pPr>
              <w:rPr>
                <w:rFonts w:cs="Arial"/>
                <w:b/>
                <w:bCs/>
              </w:rPr>
            </w:pPr>
            <w:r w:rsidRPr="00B9590C">
              <w:rPr>
                <w:rFonts w:cs="Arial"/>
                <w:b/>
                <w:bCs/>
              </w:rPr>
              <w:t>Schools</w:t>
            </w:r>
          </w:p>
        </w:tc>
      </w:tr>
      <w:tr w:rsidR="00B9590C" w:rsidRPr="00B9590C" w14:paraId="2BA7CBD7" w14:textId="77777777" w:rsidTr="00F45DB9">
        <w:tc>
          <w:tcPr>
            <w:tcW w:w="6516" w:type="dxa"/>
          </w:tcPr>
          <w:p w14:paraId="4DE08F4C" w14:textId="77777777" w:rsidR="00B9590C" w:rsidRPr="00CB7174" w:rsidRDefault="00B9590C" w:rsidP="00434E82">
            <w:pPr>
              <w:pStyle w:val="ListParagraph"/>
              <w:numPr>
                <w:ilvl w:val="0"/>
                <w:numId w:val="24"/>
              </w:numPr>
              <w:suppressAutoHyphens/>
              <w:autoSpaceDN w:val="0"/>
              <w:rPr>
                <w:rFonts w:cs="Arial"/>
              </w:rPr>
            </w:pPr>
            <w:r w:rsidRPr="00CB7174">
              <w:rPr>
                <w:rFonts w:eastAsia="Calibri" w:cs="Arial"/>
                <w:kern w:val="0"/>
                <w14:ligatures w14:val="none"/>
              </w:rPr>
              <w:t xml:space="preserve">Increase the use of the escalation procedure </w:t>
            </w:r>
          </w:p>
          <w:p w14:paraId="3AE62895" w14:textId="77777777" w:rsidR="00B9590C" w:rsidRPr="00B9590C" w:rsidRDefault="00B9590C" w:rsidP="00434E82">
            <w:pPr>
              <w:pStyle w:val="ListParagraph"/>
              <w:numPr>
                <w:ilvl w:val="0"/>
                <w:numId w:val="24"/>
              </w:numPr>
              <w:suppressAutoHyphens/>
              <w:autoSpaceDN w:val="0"/>
              <w:rPr>
                <w:rFonts w:cs="Arial"/>
              </w:rPr>
            </w:pPr>
            <w:r w:rsidRPr="00CB7174">
              <w:rPr>
                <w:rFonts w:cs="Arial"/>
              </w:rPr>
              <w:lastRenderedPageBreak/>
              <w:t>Referring allegations of physical abuse as soon as they arise</w:t>
            </w:r>
            <w:r w:rsidRPr="00B9590C">
              <w:rPr>
                <w:rFonts w:cs="Arial"/>
              </w:rPr>
              <w:t xml:space="preserve"> </w:t>
            </w:r>
          </w:p>
        </w:tc>
        <w:tc>
          <w:tcPr>
            <w:tcW w:w="6662" w:type="dxa"/>
          </w:tcPr>
          <w:p w14:paraId="2AAFAB08" w14:textId="77777777" w:rsidR="00B9590C" w:rsidRPr="00B9590C" w:rsidRDefault="00B9590C" w:rsidP="00434E82">
            <w:pPr>
              <w:pStyle w:val="ListParagraph"/>
              <w:numPr>
                <w:ilvl w:val="0"/>
                <w:numId w:val="23"/>
              </w:numPr>
              <w:rPr>
                <w:rFonts w:cs="Arial"/>
              </w:rPr>
            </w:pPr>
            <w:r w:rsidRPr="00B9590C">
              <w:rPr>
                <w:rFonts w:cs="Arial"/>
              </w:rPr>
              <w:lastRenderedPageBreak/>
              <w:t xml:space="preserve">Feedback from the Rapid Review has been shared with the Hertfordshire Safeguarding Children Board and </w:t>
            </w:r>
            <w:r w:rsidRPr="00B9590C">
              <w:rPr>
                <w:rFonts w:cs="Arial"/>
              </w:rPr>
              <w:lastRenderedPageBreak/>
              <w:t xml:space="preserve">Hertfordshire Child Protection School Liaison Officer Team, for them to share this learning with the relevant schools. </w:t>
            </w:r>
          </w:p>
          <w:p w14:paraId="30410FA6" w14:textId="3B9546C6" w:rsidR="00B9590C" w:rsidRPr="00B9590C" w:rsidRDefault="00B9590C" w:rsidP="00434E82">
            <w:pPr>
              <w:pStyle w:val="ListParagraph"/>
              <w:numPr>
                <w:ilvl w:val="0"/>
                <w:numId w:val="23"/>
              </w:numPr>
              <w:rPr>
                <w:rFonts w:cs="Arial"/>
              </w:rPr>
            </w:pPr>
            <w:r w:rsidRPr="00B9590C">
              <w:rPr>
                <w:rFonts w:cs="Arial"/>
              </w:rPr>
              <w:t>Central Bedfordshire Council (CBC) undertook a Schools Designated Safeguarding Leads (DSL) dip-sampling and reflective workshop; focussing on roles and responsibilities, thresholds and threshold decisions, what makes an analytical referral and professional escalation processes - November 2024. Dissemination of escalation policy and processes to all CBC DSLs.</w:t>
            </w:r>
          </w:p>
          <w:p w14:paraId="4B02208E" w14:textId="77777777" w:rsidR="00B9590C" w:rsidRPr="00B9590C" w:rsidRDefault="00B9590C" w:rsidP="00F94620">
            <w:pPr>
              <w:pStyle w:val="ListParagraph"/>
              <w:rPr>
                <w:rFonts w:cs="Arial"/>
              </w:rPr>
            </w:pPr>
          </w:p>
        </w:tc>
      </w:tr>
    </w:tbl>
    <w:p w14:paraId="03A86A75" w14:textId="74B7C87D" w:rsidR="00986E15" w:rsidRDefault="00986E15" w:rsidP="00986E15">
      <w:pPr>
        <w:spacing w:after="0" w:line="240" w:lineRule="auto"/>
      </w:pPr>
    </w:p>
    <w:p w14:paraId="6E165628" w14:textId="77777777" w:rsidR="00580F20" w:rsidRDefault="00580F20" w:rsidP="002028C9">
      <w:pPr>
        <w:spacing w:after="0" w:line="240" w:lineRule="auto"/>
        <w:rPr>
          <w:b/>
          <w:bCs/>
        </w:rPr>
        <w:sectPr w:rsidR="00580F20" w:rsidSect="005A312D">
          <w:pgSz w:w="16838" w:h="11906" w:orient="landscape"/>
          <w:pgMar w:top="1440" w:right="1440" w:bottom="1440" w:left="1440" w:header="709" w:footer="709" w:gutter="0"/>
          <w:cols w:space="708"/>
          <w:docGrid w:linePitch="360"/>
        </w:sectPr>
      </w:pPr>
    </w:p>
    <w:p w14:paraId="3FE1DB32" w14:textId="3E5C0946" w:rsidR="002028C9" w:rsidRDefault="002028C9" w:rsidP="002028C9">
      <w:pPr>
        <w:spacing w:after="0" w:line="240" w:lineRule="auto"/>
        <w:rPr>
          <w:b/>
          <w:bCs/>
        </w:rPr>
      </w:pPr>
      <w:r>
        <w:rPr>
          <w:b/>
          <w:bCs/>
        </w:rPr>
        <w:lastRenderedPageBreak/>
        <w:t>Training</w:t>
      </w:r>
      <w:r w:rsidR="00A04A9E">
        <w:rPr>
          <w:b/>
          <w:bCs/>
        </w:rPr>
        <w:t>:</w:t>
      </w:r>
    </w:p>
    <w:p w14:paraId="1FA21E82" w14:textId="45FC5BAC" w:rsidR="002028C9" w:rsidRPr="00083CB7" w:rsidRDefault="00083CB7" w:rsidP="002028C9">
      <w:pPr>
        <w:spacing w:after="0" w:line="240" w:lineRule="auto"/>
      </w:pPr>
      <w:r>
        <w:t xml:space="preserve">The Partnership Training Report is contained in </w:t>
      </w:r>
      <w:r w:rsidRPr="00083CB7">
        <w:rPr>
          <w:b/>
          <w:bCs/>
        </w:rPr>
        <w:t>Appendix A</w:t>
      </w:r>
      <w:r>
        <w:t>.</w:t>
      </w:r>
    </w:p>
    <w:p w14:paraId="75267057" w14:textId="77777777" w:rsidR="003E6803" w:rsidRPr="003E6803" w:rsidRDefault="003E6803" w:rsidP="002028C9">
      <w:pPr>
        <w:spacing w:after="0" w:line="240" w:lineRule="auto"/>
      </w:pPr>
    </w:p>
    <w:p w14:paraId="27B41131" w14:textId="510554BA" w:rsidR="002028C9" w:rsidRDefault="002028C9" w:rsidP="002028C9">
      <w:pPr>
        <w:spacing w:after="0" w:line="240" w:lineRule="auto"/>
        <w:rPr>
          <w:b/>
          <w:bCs/>
        </w:rPr>
      </w:pPr>
      <w:r>
        <w:rPr>
          <w:b/>
          <w:bCs/>
        </w:rPr>
        <w:t>Performance</w:t>
      </w:r>
      <w:r w:rsidR="00A04A9E">
        <w:rPr>
          <w:b/>
          <w:bCs/>
        </w:rPr>
        <w:t>:</w:t>
      </w:r>
    </w:p>
    <w:p w14:paraId="765DD25D" w14:textId="1A091168" w:rsidR="006C1041" w:rsidRDefault="006C1041" w:rsidP="002028C9">
      <w:pPr>
        <w:spacing w:after="0" w:line="240" w:lineRule="auto"/>
      </w:pPr>
      <w:r>
        <w:t xml:space="preserve">Throughout the year </w:t>
      </w:r>
      <w:r w:rsidR="00D91DFE">
        <w:t>the CBSCP Performance group have monitored and scrutin</w:t>
      </w:r>
      <w:r w:rsidR="00460F82">
        <w:t>ised the partnership dashboard on a quarterly basis</w:t>
      </w:r>
      <w:r w:rsidR="0096698D">
        <w:t>, below are some highlights of some</w:t>
      </w:r>
      <w:r w:rsidR="00B84A6B">
        <w:t xml:space="preserve"> of our key performance indicators:</w:t>
      </w:r>
    </w:p>
    <w:p w14:paraId="61B5E40E" w14:textId="29A48C52" w:rsidR="00B84A6B" w:rsidRDefault="00B84A6B" w:rsidP="002028C9">
      <w:pPr>
        <w:spacing w:after="0" w:line="240" w:lineRule="auto"/>
      </w:pPr>
    </w:p>
    <w:p w14:paraId="46159F11" w14:textId="3AF8E490" w:rsidR="00B84A6B" w:rsidRPr="006C1041" w:rsidRDefault="00B274D4" w:rsidP="002028C9">
      <w:pPr>
        <w:spacing w:after="0" w:line="240" w:lineRule="auto"/>
      </w:pPr>
      <w:r>
        <w:rPr>
          <w:noProof/>
        </w:rPr>
        <w:drawing>
          <wp:anchor distT="0" distB="0" distL="114300" distR="114300" simplePos="0" relativeHeight="251661312" behindDoc="1" locked="0" layoutInCell="1" allowOverlap="1" wp14:anchorId="226BE135" wp14:editId="51A03094">
            <wp:simplePos x="0" y="0"/>
            <wp:positionH relativeFrom="margin">
              <wp:posOffset>123874</wp:posOffset>
            </wp:positionH>
            <wp:positionV relativeFrom="paragraph">
              <wp:posOffset>100965</wp:posOffset>
            </wp:positionV>
            <wp:extent cx="2426335" cy="1458595"/>
            <wp:effectExtent l="0" t="0" r="0" b="8255"/>
            <wp:wrapNone/>
            <wp:docPr id="681406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6335" cy="1458595"/>
                    </a:xfrm>
                    <a:prstGeom prst="rect">
                      <a:avLst/>
                    </a:prstGeom>
                    <a:noFill/>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2336" behindDoc="0" locked="0" layoutInCell="1" allowOverlap="1" wp14:anchorId="3B654E3B" wp14:editId="5FC5A8C1">
            <wp:simplePos x="0" y="0"/>
            <wp:positionH relativeFrom="margin">
              <wp:posOffset>2939366</wp:posOffset>
            </wp:positionH>
            <wp:positionV relativeFrom="paragraph">
              <wp:posOffset>100965</wp:posOffset>
            </wp:positionV>
            <wp:extent cx="2454275" cy="1475105"/>
            <wp:effectExtent l="0" t="0" r="3175" b="0"/>
            <wp:wrapNone/>
            <wp:docPr id="700750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54275" cy="1475105"/>
                    </a:xfrm>
                    <a:prstGeom prst="rect">
                      <a:avLst/>
                    </a:prstGeom>
                    <a:noFill/>
                  </pic:spPr>
                </pic:pic>
              </a:graphicData>
            </a:graphic>
            <wp14:sizeRelH relativeFrom="page">
              <wp14:pctWidth>0</wp14:pctWidth>
            </wp14:sizeRelH>
            <wp14:sizeRelV relativeFrom="page">
              <wp14:pctHeight>0</wp14:pctHeight>
            </wp14:sizeRelV>
          </wp:anchor>
        </w:drawing>
      </w:r>
    </w:p>
    <w:p w14:paraId="5973D616" w14:textId="28949885" w:rsidR="002028C9" w:rsidRDefault="002028C9" w:rsidP="002028C9">
      <w:pPr>
        <w:spacing w:after="0" w:line="240" w:lineRule="auto"/>
        <w:rPr>
          <w:b/>
          <w:bCs/>
        </w:rPr>
      </w:pPr>
    </w:p>
    <w:p w14:paraId="372BBD55" w14:textId="21733629" w:rsidR="00845B72" w:rsidRDefault="00845B72" w:rsidP="002028C9">
      <w:pPr>
        <w:spacing w:after="0" w:line="240" w:lineRule="auto"/>
        <w:rPr>
          <w:b/>
          <w:bCs/>
        </w:rPr>
      </w:pPr>
    </w:p>
    <w:p w14:paraId="5D0B995C" w14:textId="6F5DC31A" w:rsidR="00845B72" w:rsidRDefault="00845B72" w:rsidP="002028C9">
      <w:pPr>
        <w:spacing w:after="0" w:line="240" w:lineRule="auto"/>
        <w:rPr>
          <w:b/>
          <w:bCs/>
        </w:rPr>
      </w:pPr>
    </w:p>
    <w:p w14:paraId="31B1FE37" w14:textId="314AA062" w:rsidR="00845B72" w:rsidRDefault="00845B72" w:rsidP="002028C9">
      <w:pPr>
        <w:spacing w:after="0" w:line="240" w:lineRule="auto"/>
        <w:rPr>
          <w:b/>
          <w:bCs/>
        </w:rPr>
      </w:pPr>
    </w:p>
    <w:p w14:paraId="7E810142" w14:textId="6903E298" w:rsidR="00845B72" w:rsidRDefault="00845B72" w:rsidP="002028C9">
      <w:pPr>
        <w:spacing w:after="0" w:line="240" w:lineRule="auto"/>
        <w:rPr>
          <w:b/>
          <w:bCs/>
        </w:rPr>
      </w:pPr>
    </w:p>
    <w:p w14:paraId="2512F830" w14:textId="60184DFE" w:rsidR="00845B72" w:rsidRDefault="00845B72" w:rsidP="002028C9">
      <w:pPr>
        <w:spacing w:after="0" w:line="240" w:lineRule="auto"/>
        <w:rPr>
          <w:b/>
          <w:bCs/>
        </w:rPr>
      </w:pPr>
    </w:p>
    <w:p w14:paraId="0E23E1CF" w14:textId="77777777" w:rsidR="00845B72" w:rsidRDefault="00845B72" w:rsidP="002028C9">
      <w:pPr>
        <w:spacing w:after="0" w:line="240" w:lineRule="auto"/>
        <w:rPr>
          <w:b/>
          <w:bCs/>
        </w:rPr>
      </w:pPr>
    </w:p>
    <w:p w14:paraId="6BFAB287" w14:textId="3BAE1E6B" w:rsidR="00845B72" w:rsidRDefault="00845B72" w:rsidP="002028C9">
      <w:pPr>
        <w:spacing w:after="0" w:line="240" w:lineRule="auto"/>
        <w:rPr>
          <w:b/>
          <w:bCs/>
        </w:rPr>
      </w:pPr>
    </w:p>
    <w:p w14:paraId="2F9325F3" w14:textId="5C37AF6C" w:rsidR="00B274D4" w:rsidRDefault="00B274D4" w:rsidP="002028C9">
      <w:pPr>
        <w:spacing w:after="0" w:line="240" w:lineRule="auto"/>
        <w:rPr>
          <w:b/>
          <w:bCs/>
        </w:rPr>
      </w:pPr>
    </w:p>
    <w:p w14:paraId="0A27CFE8" w14:textId="22D3E95E" w:rsidR="00B274D4" w:rsidRDefault="00930D0C" w:rsidP="002028C9">
      <w:pPr>
        <w:spacing w:after="0" w:line="240" w:lineRule="auto"/>
        <w:rPr>
          <w:b/>
          <w:bCs/>
        </w:rPr>
      </w:pPr>
      <w:r>
        <w:rPr>
          <w:b/>
          <w:bCs/>
          <w:noProof/>
        </w:rPr>
        <w:drawing>
          <wp:anchor distT="0" distB="0" distL="114300" distR="114300" simplePos="0" relativeHeight="251664384" behindDoc="1" locked="0" layoutInCell="1" allowOverlap="1" wp14:anchorId="4BE50DC5" wp14:editId="1575043E">
            <wp:simplePos x="0" y="0"/>
            <wp:positionH relativeFrom="margin">
              <wp:posOffset>2995295</wp:posOffset>
            </wp:positionH>
            <wp:positionV relativeFrom="paragraph">
              <wp:posOffset>6350</wp:posOffset>
            </wp:positionV>
            <wp:extent cx="2398395" cy="1441450"/>
            <wp:effectExtent l="0" t="0" r="1905" b="6350"/>
            <wp:wrapNone/>
            <wp:docPr id="18580025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98395" cy="1441450"/>
                    </a:xfrm>
                    <a:prstGeom prst="rect">
                      <a:avLst/>
                    </a:prstGeom>
                    <a:noFill/>
                  </pic:spPr>
                </pic:pic>
              </a:graphicData>
            </a:graphic>
            <wp14:sizeRelH relativeFrom="page">
              <wp14:pctWidth>0</wp14:pctWidth>
            </wp14:sizeRelH>
            <wp14:sizeRelV relativeFrom="page">
              <wp14:pctHeight>0</wp14:pctHeight>
            </wp14:sizeRelV>
          </wp:anchor>
        </w:drawing>
      </w:r>
      <w:r w:rsidR="00FD5500">
        <w:rPr>
          <w:b/>
          <w:bCs/>
          <w:noProof/>
        </w:rPr>
        <w:drawing>
          <wp:anchor distT="0" distB="0" distL="114300" distR="114300" simplePos="0" relativeHeight="251663360" behindDoc="1" locked="0" layoutInCell="1" allowOverlap="1" wp14:anchorId="1D2C3A72" wp14:editId="439C6B5A">
            <wp:simplePos x="0" y="0"/>
            <wp:positionH relativeFrom="margin">
              <wp:posOffset>175846</wp:posOffset>
            </wp:positionH>
            <wp:positionV relativeFrom="paragraph">
              <wp:posOffset>7034</wp:posOffset>
            </wp:positionV>
            <wp:extent cx="2377098" cy="1428892"/>
            <wp:effectExtent l="0" t="0" r="4445" b="0"/>
            <wp:wrapNone/>
            <wp:docPr id="21357757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4645" cy="1433429"/>
                    </a:xfrm>
                    <a:prstGeom prst="rect">
                      <a:avLst/>
                    </a:prstGeom>
                    <a:noFill/>
                  </pic:spPr>
                </pic:pic>
              </a:graphicData>
            </a:graphic>
            <wp14:sizeRelH relativeFrom="page">
              <wp14:pctWidth>0</wp14:pctWidth>
            </wp14:sizeRelH>
            <wp14:sizeRelV relativeFrom="page">
              <wp14:pctHeight>0</wp14:pctHeight>
            </wp14:sizeRelV>
          </wp:anchor>
        </w:drawing>
      </w:r>
    </w:p>
    <w:p w14:paraId="577C8B3F" w14:textId="7A26D51A" w:rsidR="00B274D4" w:rsidRDefault="00B274D4" w:rsidP="002028C9">
      <w:pPr>
        <w:spacing w:after="0" w:line="240" w:lineRule="auto"/>
        <w:rPr>
          <w:b/>
          <w:bCs/>
        </w:rPr>
      </w:pPr>
    </w:p>
    <w:p w14:paraId="1D5A4B91" w14:textId="7B31822E" w:rsidR="00B274D4" w:rsidRDefault="00B274D4" w:rsidP="002028C9">
      <w:pPr>
        <w:spacing w:after="0" w:line="240" w:lineRule="auto"/>
        <w:rPr>
          <w:b/>
          <w:bCs/>
        </w:rPr>
      </w:pPr>
    </w:p>
    <w:p w14:paraId="0EE5A253" w14:textId="553B7CB9" w:rsidR="00845B72" w:rsidRDefault="00845B72" w:rsidP="002028C9">
      <w:pPr>
        <w:spacing w:after="0" w:line="240" w:lineRule="auto"/>
        <w:rPr>
          <w:b/>
          <w:bCs/>
        </w:rPr>
      </w:pPr>
    </w:p>
    <w:p w14:paraId="4A305AB3" w14:textId="6EE6D683" w:rsidR="00845B72" w:rsidRDefault="00845B72" w:rsidP="002028C9">
      <w:pPr>
        <w:spacing w:after="0" w:line="240" w:lineRule="auto"/>
        <w:rPr>
          <w:b/>
          <w:bCs/>
        </w:rPr>
      </w:pPr>
    </w:p>
    <w:p w14:paraId="74AD9AA3" w14:textId="7043FF43" w:rsidR="00845B72" w:rsidRDefault="00845B72" w:rsidP="002028C9">
      <w:pPr>
        <w:spacing w:after="0" w:line="240" w:lineRule="auto"/>
        <w:rPr>
          <w:b/>
          <w:bCs/>
        </w:rPr>
      </w:pPr>
    </w:p>
    <w:p w14:paraId="308A98B9" w14:textId="3BACB31E" w:rsidR="00845B72" w:rsidRDefault="00845B72" w:rsidP="002028C9">
      <w:pPr>
        <w:spacing w:after="0" w:line="240" w:lineRule="auto"/>
        <w:rPr>
          <w:b/>
          <w:bCs/>
        </w:rPr>
      </w:pPr>
    </w:p>
    <w:p w14:paraId="54850A18" w14:textId="495EDB09" w:rsidR="00845B72" w:rsidRDefault="00845B72" w:rsidP="002028C9">
      <w:pPr>
        <w:spacing w:after="0" w:line="240" w:lineRule="auto"/>
        <w:rPr>
          <w:b/>
          <w:bCs/>
        </w:rPr>
      </w:pPr>
    </w:p>
    <w:p w14:paraId="6AEFEE5A" w14:textId="582390C4" w:rsidR="00845B72" w:rsidRDefault="00845B72" w:rsidP="002028C9">
      <w:pPr>
        <w:spacing w:after="0" w:line="240" w:lineRule="auto"/>
        <w:rPr>
          <w:b/>
          <w:bCs/>
        </w:rPr>
      </w:pPr>
    </w:p>
    <w:p w14:paraId="0CC159B8" w14:textId="04268D7C" w:rsidR="00845B72" w:rsidRDefault="00000D61" w:rsidP="002028C9">
      <w:pPr>
        <w:spacing w:after="0" w:line="240" w:lineRule="auto"/>
        <w:rPr>
          <w:b/>
          <w:bCs/>
        </w:rPr>
      </w:pPr>
      <w:r>
        <w:rPr>
          <w:b/>
          <w:bCs/>
          <w:noProof/>
        </w:rPr>
        <w:drawing>
          <wp:anchor distT="0" distB="0" distL="114300" distR="114300" simplePos="0" relativeHeight="251666432" behindDoc="1" locked="0" layoutInCell="1" allowOverlap="1" wp14:anchorId="3673F74A" wp14:editId="0588E37C">
            <wp:simplePos x="0" y="0"/>
            <wp:positionH relativeFrom="margin">
              <wp:posOffset>2982351</wp:posOffset>
            </wp:positionH>
            <wp:positionV relativeFrom="paragraph">
              <wp:posOffset>35413</wp:posOffset>
            </wp:positionV>
            <wp:extent cx="2425942" cy="1458254"/>
            <wp:effectExtent l="0" t="0" r="0" b="8890"/>
            <wp:wrapNone/>
            <wp:docPr id="4008881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40575" cy="1467050"/>
                    </a:xfrm>
                    <a:prstGeom prst="rect">
                      <a:avLst/>
                    </a:prstGeom>
                    <a:noFill/>
                  </pic:spPr>
                </pic:pic>
              </a:graphicData>
            </a:graphic>
            <wp14:sizeRelH relativeFrom="page">
              <wp14:pctWidth>0</wp14:pctWidth>
            </wp14:sizeRelH>
            <wp14:sizeRelV relativeFrom="page">
              <wp14:pctHeight>0</wp14:pctHeight>
            </wp14:sizeRelV>
          </wp:anchor>
        </w:drawing>
      </w:r>
      <w:r w:rsidR="00727627">
        <w:rPr>
          <w:b/>
          <w:bCs/>
          <w:noProof/>
        </w:rPr>
        <w:drawing>
          <wp:anchor distT="0" distB="0" distL="114300" distR="114300" simplePos="0" relativeHeight="251665408" behindDoc="1" locked="0" layoutInCell="1" allowOverlap="1" wp14:anchorId="79F8D9C0" wp14:editId="27EE1855">
            <wp:simplePos x="0" y="0"/>
            <wp:positionH relativeFrom="margin">
              <wp:posOffset>175846</wp:posOffset>
            </wp:positionH>
            <wp:positionV relativeFrom="paragraph">
              <wp:posOffset>34730</wp:posOffset>
            </wp:positionV>
            <wp:extent cx="2375397" cy="1427870"/>
            <wp:effectExtent l="0" t="0" r="6350" b="1270"/>
            <wp:wrapNone/>
            <wp:docPr id="1274588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88125" cy="1435521"/>
                    </a:xfrm>
                    <a:prstGeom prst="rect">
                      <a:avLst/>
                    </a:prstGeom>
                    <a:noFill/>
                  </pic:spPr>
                </pic:pic>
              </a:graphicData>
            </a:graphic>
            <wp14:sizeRelH relativeFrom="page">
              <wp14:pctWidth>0</wp14:pctWidth>
            </wp14:sizeRelH>
            <wp14:sizeRelV relativeFrom="page">
              <wp14:pctHeight>0</wp14:pctHeight>
            </wp14:sizeRelV>
          </wp:anchor>
        </w:drawing>
      </w:r>
    </w:p>
    <w:p w14:paraId="1A6C23F1" w14:textId="624A3811" w:rsidR="00845B72" w:rsidRDefault="00845B72" w:rsidP="002028C9">
      <w:pPr>
        <w:spacing w:after="0" w:line="240" w:lineRule="auto"/>
        <w:rPr>
          <w:b/>
          <w:bCs/>
        </w:rPr>
      </w:pPr>
    </w:p>
    <w:p w14:paraId="54FC18B8" w14:textId="153186A4" w:rsidR="00000D61" w:rsidRDefault="00000D61" w:rsidP="002028C9">
      <w:pPr>
        <w:spacing w:after="0" w:line="240" w:lineRule="auto"/>
        <w:rPr>
          <w:b/>
          <w:bCs/>
        </w:rPr>
      </w:pPr>
    </w:p>
    <w:p w14:paraId="1BFA857B" w14:textId="77777777" w:rsidR="00000D61" w:rsidRDefault="00000D61" w:rsidP="002028C9">
      <w:pPr>
        <w:spacing w:after="0" w:line="240" w:lineRule="auto"/>
        <w:rPr>
          <w:b/>
          <w:bCs/>
        </w:rPr>
      </w:pPr>
    </w:p>
    <w:p w14:paraId="3C6B70E5" w14:textId="64676F05" w:rsidR="00000D61" w:rsidRDefault="00000D61" w:rsidP="002028C9">
      <w:pPr>
        <w:spacing w:after="0" w:line="240" w:lineRule="auto"/>
        <w:rPr>
          <w:b/>
          <w:bCs/>
        </w:rPr>
      </w:pPr>
    </w:p>
    <w:p w14:paraId="4A843746" w14:textId="415A58E5" w:rsidR="00000D61" w:rsidRDefault="00000D61" w:rsidP="002028C9">
      <w:pPr>
        <w:spacing w:after="0" w:line="240" w:lineRule="auto"/>
        <w:rPr>
          <w:b/>
          <w:bCs/>
        </w:rPr>
      </w:pPr>
    </w:p>
    <w:p w14:paraId="0ECF5643" w14:textId="77777777" w:rsidR="00000D61" w:rsidRDefault="00000D61" w:rsidP="002028C9">
      <w:pPr>
        <w:spacing w:after="0" w:line="240" w:lineRule="auto"/>
        <w:rPr>
          <w:b/>
          <w:bCs/>
        </w:rPr>
      </w:pPr>
    </w:p>
    <w:p w14:paraId="2E63C282" w14:textId="77777777" w:rsidR="00000D61" w:rsidRDefault="00000D61" w:rsidP="002028C9">
      <w:pPr>
        <w:spacing w:after="0" w:line="240" w:lineRule="auto"/>
        <w:rPr>
          <w:b/>
          <w:bCs/>
        </w:rPr>
      </w:pPr>
    </w:p>
    <w:p w14:paraId="0E61E5BF" w14:textId="5814F628" w:rsidR="00000D61" w:rsidRDefault="00000D61" w:rsidP="002028C9">
      <w:pPr>
        <w:spacing w:after="0" w:line="240" w:lineRule="auto"/>
        <w:rPr>
          <w:b/>
          <w:bCs/>
        </w:rPr>
      </w:pPr>
    </w:p>
    <w:p w14:paraId="06DA6C01" w14:textId="77777777" w:rsidR="00000D61" w:rsidRDefault="00000D61" w:rsidP="002028C9">
      <w:pPr>
        <w:spacing w:after="0" w:line="240" w:lineRule="auto"/>
        <w:rPr>
          <w:b/>
          <w:bCs/>
        </w:rPr>
      </w:pPr>
    </w:p>
    <w:p w14:paraId="0F4E3F03" w14:textId="6D3B64F4" w:rsidR="00000D61" w:rsidRDefault="00000D61" w:rsidP="002028C9">
      <w:pPr>
        <w:spacing w:after="0" w:line="240" w:lineRule="auto"/>
        <w:rPr>
          <w:b/>
          <w:bCs/>
        </w:rPr>
      </w:pPr>
    </w:p>
    <w:p w14:paraId="6D6E7C20" w14:textId="75D836BA" w:rsidR="00845B72" w:rsidRDefault="00325911" w:rsidP="002028C9">
      <w:pPr>
        <w:spacing w:after="0" w:line="240" w:lineRule="auto"/>
        <w:rPr>
          <w:b/>
          <w:bCs/>
        </w:rPr>
      </w:pPr>
      <w:r>
        <w:rPr>
          <w:b/>
          <w:bCs/>
          <w:noProof/>
        </w:rPr>
        <w:drawing>
          <wp:anchor distT="0" distB="0" distL="114300" distR="114300" simplePos="0" relativeHeight="251668480" behindDoc="1" locked="0" layoutInCell="1" allowOverlap="1" wp14:anchorId="503CFD02" wp14:editId="0DCE1956">
            <wp:simplePos x="0" y="0"/>
            <wp:positionH relativeFrom="margin">
              <wp:posOffset>2855742</wp:posOffset>
            </wp:positionH>
            <wp:positionV relativeFrom="paragraph">
              <wp:posOffset>-393896</wp:posOffset>
            </wp:positionV>
            <wp:extent cx="2340293" cy="1406769"/>
            <wp:effectExtent l="0" t="0" r="3175" b="3175"/>
            <wp:wrapNone/>
            <wp:docPr id="20973086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54391" cy="1415243"/>
                    </a:xfrm>
                    <a:prstGeom prst="rect">
                      <a:avLst/>
                    </a:prstGeom>
                    <a:noFill/>
                  </pic:spPr>
                </pic:pic>
              </a:graphicData>
            </a:graphic>
            <wp14:sizeRelH relativeFrom="page">
              <wp14:pctWidth>0</wp14:pctWidth>
            </wp14:sizeRelH>
            <wp14:sizeRelV relativeFrom="page">
              <wp14:pctHeight>0</wp14:pctHeight>
            </wp14:sizeRelV>
          </wp:anchor>
        </w:drawing>
      </w:r>
      <w:r w:rsidR="006B34D3">
        <w:rPr>
          <w:b/>
          <w:bCs/>
          <w:noProof/>
        </w:rPr>
        <w:drawing>
          <wp:anchor distT="0" distB="0" distL="114300" distR="114300" simplePos="0" relativeHeight="251667456" behindDoc="0" locked="0" layoutInCell="1" allowOverlap="1" wp14:anchorId="4E75F606" wp14:editId="373F7C29">
            <wp:simplePos x="0" y="0"/>
            <wp:positionH relativeFrom="margin">
              <wp:posOffset>224286</wp:posOffset>
            </wp:positionH>
            <wp:positionV relativeFrom="paragraph">
              <wp:posOffset>-394872</wp:posOffset>
            </wp:positionV>
            <wp:extent cx="2328591" cy="1399735"/>
            <wp:effectExtent l="0" t="0" r="0" b="0"/>
            <wp:wrapNone/>
            <wp:docPr id="4768517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28591" cy="1399735"/>
                    </a:xfrm>
                    <a:prstGeom prst="rect">
                      <a:avLst/>
                    </a:prstGeom>
                    <a:noFill/>
                  </pic:spPr>
                </pic:pic>
              </a:graphicData>
            </a:graphic>
            <wp14:sizeRelH relativeFrom="page">
              <wp14:pctWidth>0</wp14:pctWidth>
            </wp14:sizeRelH>
            <wp14:sizeRelV relativeFrom="page">
              <wp14:pctHeight>0</wp14:pctHeight>
            </wp14:sizeRelV>
          </wp:anchor>
        </w:drawing>
      </w:r>
    </w:p>
    <w:p w14:paraId="13D1CBA1" w14:textId="228DF5EE" w:rsidR="00845B72" w:rsidRDefault="00845B72" w:rsidP="002028C9">
      <w:pPr>
        <w:spacing w:after="0" w:line="240" w:lineRule="auto"/>
        <w:rPr>
          <w:b/>
          <w:bCs/>
        </w:rPr>
      </w:pPr>
    </w:p>
    <w:p w14:paraId="5A3ED414" w14:textId="06620389" w:rsidR="00845B72" w:rsidRDefault="00845B72" w:rsidP="002028C9">
      <w:pPr>
        <w:spacing w:after="0" w:line="240" w:lineRule="auto"/>
        <w:rPr>
          <w:b/>
          <w:bCs/>
        </w:rPr>
      </w:pPr>
    </w:p>
    <w:p w14:paraId="33E6E639" w14:textId="77777777" w:rsidR="00845B72" w:rsidRDefault="00845B72" w:rsidP="002028C9">
      <w:pPr>
        <w:spacing w:after="0" w:line="240" w:lineRule="auto"/>
        <w:rPr>
          <w:b/>
          <w:bCs/>
        </w:rPr>
      </w:pPr>
    </w:p>
    <w:p w14:paraId="6F8A4588" w14:textId="77777777" w:rsidR="00845B72" w:rsidRDefault="00845B72" w:rsidP="002028C9">
      <w:pPr>
        <w:spacing w:after="0" w:line="240" w:lineRule="auto"/>
        <w:rPr>
          <w:b/>
          <w:bCs/>
        </w:rPr>
      </w:pPr>
    </w:p>
    <w:p w14:paraId="0B0100E4" w14:textId="77777777" w:rsidR="00845B72" w:rsidRDefault="00845B72" w:rsidP="002028C9">
      <w:pPr>
        <w:spacing w:after="0" w:line="240" w:lineRule="auto"/>
        <w:rPr>
          <w:b/>
          <w:bCs/>
        </w:rPr>
      </w:pPr>
    </w:p>
    <w:p w14:paraId="5385695B" w14:textId="77777777" w:rsidR="00845B72" w:rsidRDefault="00845B72" w:rsidP="002028C9">
      <w:pPr>
        <w:spacing w:after="0" w:line="240" w:lineRule="auto"/>
        <w:rPr>
          <w:b/>
          <w:bCs/>
        </w:rPr>
      </w:pPr>
    </w:p>
    <w:p w14:paraId="3F158321" w14:textId="77777777" w:rsidR="00D250A0" w:rsidRDefault="00434335" w:rsidP="002028C9">
      <w:pPr>
        <w:spacing w:after="0" w:line="240" w:lineRule="auto"/>
      </w:pPr>
      <w:r w:rsidRPr="00434335">
        <w:t>A Pan Bedfordshire Data Analyst has recently been recruited; the embedding of this role will take place during 2024/2</w:t>
      </w:r>
    </w:p>
    <w:p w14:paraId="3D0C7D6B" w14:textId="77777777" w:rsidR="00D250A0" w:rsidRDefault="00D250A0" w:rsidP="002028C9">
      <w:pPr>
        <w:spacing w:after="0" w:line="240" w:lineRule="auto"/>
      </w:pPr>
    </w:p>
    <w:p w14:paraId="2A3F30F8" w14:textId="77777777" w:rsidR="00D250A0" w:rsidRDefault="00D250A0" w:rsidP="00D250A0">
      <w:pPr>
        <w:spacing w:after="0" w:line="240" w:lineRule="auto"/>
        <w:rPr>
          <w:b/>
          <w:bCs/>
        </w:rPr>
      </w:pPr>
      <w:r>
        <w:rPr>
          <w:b/>
          <w:bCs/>
        </w:rPr>
        <w:t>Funding Contributions and Spend:</w:t>
      </w:r>
    </w:p>
    <w:p w14:paraId="554652E3" w14:textId="77777777" w:rsidR="00D250A0" w:rsidRDefault="00D250A0" w:rsidP="00D250A0">
      <w:pPr>
        <w:spacing w:after="0" w:line="240" w:lineRule="auto"/>
        <w:jc w:val="both"/>
        <w:rPr>
          <w:rFonts w:eastAsia="Tahoma"/>
          <w:color w:val="000000"/>
          <w:spacing w:val="7"/>
        </w:rPr>
      </w:pPr>
      <w:r w:rsidRPr="00154388">
        <w:rPr>
          <w:rFonts w:eastAsia="Tahoma"/>
          <w:color w:val="000000"/>
          <w:spacing w:val="7"/>
        </w:rPr>
        <w:t>Current funding arrangements</w:t>
      </w:r>
      <w:r>
        <w:rPr>
          <w:rFonts w:eastAsia="Tahoma"/>
          <w:color w:val="000000"/>
          <w:spacing w:val="7"/>
        </w:rPr>
        <w:t xml:space="preserve"> (Per year), including the costs of both the Business and Training Units.</w:t>
      </w:r>
    </w:p>
    <w:p w14:paraId="05E6C288" w14:textId="77777777" w:rsidR="00D250A0" w:rsidRDefault="00D250A0" w:rsidP="00D250A0">
      <w:pPr>
        <w:spacing w:after="0" w:line="240" w:lineRule="auto"/>
        <w:jc w:val="both"/>
        <w:rPr>
          <w:rFonts w:eastAsia="Tahoma"/>
          <w:color w:val="000000"/>
          <w:spacing w:val="7"/>
        </w:rPr>
      </w:pPr>
    </w:p>
    <w:p w14:paraId="00C19CBF" w14:textId="77777777" w:rsidR="00D250A0" w:rsidRDefault="00D250A0" w:rsidP="00D250A0">
      <w:pPr>
        <w:spacing w:after="0" w:line="240" w:lineRule="auto"/>
        <w:rPr>
          <w:rFonts w:eastAsia="Tahoma"/>
          <w:b/>
          <w:bCs/>
          <w:color w:val="000000"/>
          <w:spacing w:val="7"/>
        </w:rPr>
      </w:pPr>
      <w:r>
        <w:rPr>
          <w:rFonts w:eastAsia="Tahoma"/>
          <w:b/>
          <w:bCs/>
          <w:color w:val="000000"/>
          <w:spacing w:val="7"/>
        </w:rPr>
        <w:t xml:space="preserve">Annual </w:t>
      </w:r>
      <w:r w:rsidRPr="00DD5200">
        <w:rPr>
          <w:rFonts w:eastAsia="Tahoma"/>
          <w:b/>
          <w:bCs/>
          <w:color w:val="000000"/>
          <w:spacing w:val="7"/>
        </w:rPr>
        <w:t>Funding Contributions:</w:t>
      </w:r>
    </w:p>
    <w:p w14:paraId="1EA70DDA" w14:textId="77777777" w:rsidR="00D250A0" w:rsidRPr="00DD5200" w:rsidRDefault="00D250A0" w:rsidP="00D250A0">
      <w:pPr>
        <w:spacing w:after="0"/>
        <w:rPr>
          <w:rFonts w:eastAsia="Tahoma"/>
          <w:b/>
          <w:bCs/>
          <w:color w:val="000000"/>
          <w:spacing w:val="7"/>
        </w:rPr>
      </w:pPr>
    </w:p>
    <w:tbl>
      <w:tblPr>
        <w:tblStyle w:val="TableGrid"/>
        <w:tblW w:w="0" w:type="auto"/>
        <w:tblLook w:val="04A0" w:firstRow="1" w:lastRow="0" w:firstColumn="1" w:lastColumn="0" w:noHBand="0" w:noVBand="1"/>
      </w:tblPr>
      <w:tblGrid>
        <w:gridCol w:w="1827"/>
        <w:gridCol w:w="1664"/>
        <w:gridCol w:w="1612"/>
        <w:gridCol w:w="2279"/>
        <w:gridCol w:w="1634"/>
      </w:tblGrid>
      <w:tr w:rsidR="00D250A0" w14:paraId="488A88EA" w14:textId="77777777" w:rsidTr="000F3D1D">
        <w:tc>
          <w:tcPr>
            <w:tcW w:w="1827"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09CB1C19" w14:textId="77777777" w:rsidR="00D250A0" w:rsidRDefault="00D250A0" w:rsidP="000F3D1D">
            <w:pPr>
              <w:jc w:val="center"/>
              <w:rPr>
                <w:b/>
                <w:bCs/>
                <w:sz w:val="22"/>
                <w:szCs w:val="22"/>
              </w:rPr>
            </w:pPr>
            <w:r>
              <w:rPr>
                <w:b/>
                <w:bCs/>
                <w:sz w:val="22"/>
                <w:szCs w:val="22"/>
              </w:rPr>
              <w:t>Partner</w:t>
            </w:r>
          </w:p>
        </w:tc>
        <w:tc>
          <w:tcPr>
            <w:tcW w:w="1664"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50019707" w14:textId="77777777" w:rsidR="00D250A0" w:rsidRDefault="00D250A0" w:rsidP="000F3D1D">
            <w:pPr>
              <w:jc w:val="center"/>
              <w:rPr>
                <w:b/>
                <w:bCs/>
                <w:sz w:val="22"/>
                <w:szCs w:val="22"/>
              </w:rPr>
            </w:pPr>
            <w:r>
              <w:rPr>
                <w:b/>
                <w:bCs/>
                <w:sz w:val="22"/>
                <w:szCs w:val="22"/>
              </w:rPr>
              <w:t>Total Contribution</w:t>
            </w:r>
          </w:p>
        </w:tc>
        <w:tc>
          <w:tcPr>
            <w:tcW w:w="1612" w:type="dxa"/>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680BC29E" w14:textId="77777777" w:rsidR="00D250A0" w:rsidRDefault="00D250A0" w:rsidP="000F3D1D">
            <w:pPr>
              <w:jc w:val="center"/>
              <w:rPr>
                <w:b/>
                <w:bCs/>
                <w:sz w:val="22"/>
                <w:szCs w:val="22"/>
              </w:rPr>
            </w:pPr>
          </w:p>
        </w:tc>
        <w:tc>
          <w:tcPr>
            <w:tcW w:w="2279"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26360C1B" w14:textId="77777777" w:rsidR="00D250A0" w:rsidRDefault="00D250A0" w:rsidP="000F3D1D">
            <w:pPr>
              <w:jc w:val="center"/>
              <w:rPr>
                <w:b/>
                <w:bCs/>
                <w:sz w:val="22"/>
                <w:szCs w:val="22"/>
              </w:rPr>
            </w:pPr>
            <w:r>
              <w:rPr>
                <w:b/>
                <w:bCs/>
                <w:sz w:val="22"/>
                <w:szCs w:val="22"/>
              </w:rPr>
              <w:t>Business Unit/Training Split</w:t>
            </w:r>
          </w:p>
        </w:tc>
        <w:tc>
          <w:tcPr>
            <w:tcW w:w="1634"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027B2015" w14:textId="77777777" w:rsidR="00D250A0" w:rsidRDefault="00D250A0" w:rsidP="000F3D1D">
            <w:pPr>
              <w:jc w:val="center"/>
              <w:rPr>
                <w:b/>
                <w:bCs/>
                <w:sz w:val="22"/>
                <w:szCs w:val="22"/>
              </w:rPr>
            </w:pPr>
            <w:r>
              <w:rPr>
                <w:b/>
                <w:bCs/>
                <w:sz w:val="22"/>
                <w:szCs w:val="22"/>
              </w:rPr>
              <w:t>Overall Percentage of Contribution</w:t>
            </w:r>
          </w:p>
        </w:tc>
      </w:tr>
      <w:tr w:rsidR="00D250A0" w14:paraId="19B934AE" w14:textId="77777777" w:rsidTr="000F3D1D">
        <w:trPr>
          <w:trHeight w:val="270"/>
        </w:trPr>
        <w:tc>
          <w:tcPr>
            <w:tcW w:w="1827" w:type="dxa"/>
            <w:vMerge w:val="restart"/>
            <w:tcBorders>
              <w:top w:val="single" w:sz="4" w:space="0" w:color="auto"/>
              <w:left w:val="single" w:sz="4" w:space="0" w:color="auto"/>
              <w:bottom w:val="single" w:sz="4" w:space="0" w:color="auto"/>
              <w:right w:val="single" w:sz="4" w:space="0" w:color="auto"/>
            </w:tcBorders>
            <w:hideMark/>
          </w:tcPr>
          <w:p w14:paraId="05B35733" w14:textId="77777777" w:rsidR="00D250A0" w:rsidRDefault="00D250A0" w:rsidP="000F3D1D">
            <w:pPr>
              <w:rPr>
                <w:b/>
                <w:bCs/>
                <w:sz w:val="22"/>
                <w:szCs w:val="22"/>
              </w:rPr>
            </w:pPr>
            <w:r>
              <w:rPr>
                <w:sz w:val="22"/>
                <w:szCs w:val="22"/>
              </w:rPr>
              <w:t>Central Bedfordshire Council</w:t>
            </w:r>
          </w:p>
        </w:tc>
        <w:tc>
          <w:tcPr>
            <w:tcW w:w="1664" w:type="dxa"/>
            <w:vMerge w:val="restart"/>
            <w:tcBorders>
              <w:top w:val="single" w:sz="4" w:space="0" w:color="auto"/>
              <w:left w:val="single" w:sz="4" w:space="0" w:color="auto"/>
              <w:bottom w:val="single" w:sz="4" w:space="0" w:color="auto"/>
              <w:right w:val="single" w:sz="4" w:space="0" w:color="auto"/>
            </w:tcBorders>
            <w:hideMark/>
          </w:tcPr>
          <w:p w14:paraId="4C24F001" w14:textId="77777777" w:rsidR="00D250A0" w:rsidRDefault="00D250A0" w:rsidP="000F3D1D">
            <w:pPr>
              <w:jc w:val="center"/>
              <w:rPr>
                <w:b/>
                <w:bCs/>
                <w:sz w:val="22"/>
                <w:szCs w:val="22"/>
              </w:rPr>
            </w:pPr>
            <w:r>
              <w:rPr>
                <w:sz w:val="22"/>
                <w:szCs w:val="22"/>
              </w:rPr>
              <w:t>£133,041.45</w:t>
            </w:r>
          </w:p>
        </w:tc>
        <w:tc>
          <w:tcPr>
            <w:tcW w:w="1612" w:type="dxa"/>
            <w:tcBorders>
              <w:top w:val="single" w:sz="4" w:space="0" w:color="auto"/>
              <w:left w:val="single" w:sz="4" w:space="0" w:color="auto"/>
              <w:bottom w:val="single" w:sz="4" w:space="0" w:color="auto"/>
              <w:right w:val="single" w:sz="4" w:space="0" w:color="auto"/>
            </w:tcBorders>
          </w:tcPr>
          <w:p w14:paraId="40184435" w14:textId="77777777" w:rsidR="00D250A0" w:rsidRDefault="00D250A0" w:rsidP="000F3D1D">
            <w:pPr>
              <w:rPr>
                <w:sz w:val="22"/>
                <w:szCs w:val="22"/>
              </w:rPr>
            </w:pPr>
          </w:p>
        </w:tc>
        <w:tc>
          <w:tcPr>
            <w:tcW w:w="2279" w:type="dxa"/>
            <w:tcBorders>
              <w:top w:val="single" w:sz="4" w:space="0" w:color="auto"/>
              <w:left w:val="single" w:sz="4" w:space="0" w:color="auto"/>
              <w:bottom w:val="single" w:sz="4" w:space="0" w:color="auto"/>
              <w:right w:val="single" w:sz="4" w:space="0" w:color="auto"/>
            </w:tcBorders>
          </w:tcPr>
          <w:p w14:paraId="7DFD8A07" w14:textId="77777777" w:rsidR="00D250A0" w:rsidRDefault="00D250A0" w:rsidP="000F3D1D">
            <w:pPr>
              <w:rPr>
                <w:sz w:val="22"/>
                <w:szCs w:val="22"/>
              </w:rPr>
            </w:pPr>
            <w:r>
              <w:rPr>
                <w:sz w:val="22"/>
                <w:szCs w:val="22"/>
              </w:rPr>
              <w:t>£116,982.33 – Business Unit</w:t>
            </w:r>
          </w:p>
          <w:p w14:paraId="02A53A83" w14:textId="77777777" w:rsidR="00D250A0" w:rsidRDefault="00D250A0" w:rsidP="000F3D1D">
            <w:pPr>
              <w:jc w:val="center"/>
              <w:rPr>
                <w:b/>
                <w:bCs/>
                <w:sz w:val="22"/>
                <w:szCs w:val="22"/>
              </w:rPr>
            </w:pPr>
          </w:p>
        </w:tc>
        <w:tc>
          <w:tcPr>
            <w:tcW w:w="1634" w:type="dxa"/>
            <w:vMerge w:val="restart"/>
            <w:tcBorders>
              <w:top w:val="single" w:sz="4" w:space="0" w:color="auto"/>
              <w:left w:val="single" w:sz="4" w:space="0" w:color="auto"/>
              <w:bottom w:val="single" w:sz="4" w:space="0" w:color="auto"/>
              <w:right w:val="single" w:sz="4" w:space="0" w:color="auto"/>
            </w:tcBorders>
            <w:hideMark/>
          </w:tcPr>
          <w:p w14:paraId="17C272C2" w14:textId="77777777" w:rsidR="00D250A0" w:rsidRDefault="00D250A0" w:rsidP="000F3D1D">
            <w:pPr>
              <w:jc w:val="center"/>
              <w:rPr>
                <w:sz w:val="22"/>
                <w:szCs w:val="22"/>
              </w:rPr>
            </w:pPr>
            <w:r>
              <w:rPr>
                <w:sz w:val="22"/>
                <w:szCs w:val="22"/>
              </w:rPr>
              <w:t>63%</w:t>
            </w:r>
          </w:p>
        </w:tc>
      </w:tr>
      <w:tr w:rsidR="00D250A0" w14:paraId="46988DA4" w14:textId="77777777" w:rsidTr="000F3D1D">
        <w:trPr>
          <w:trHeight w:val="270"/>
        </w:trPr>
        <w:tc>
          <w:tcPr>
            <w:tcW w:w="1827" w:type="dxa"/>
            <w:vMerge/>
            <w:tcBorders>
              <w:top w:val="single" w:sz="4" w:space="0" w:color="auto"/>
              <w:left w:val="single" w:sz="4" w:space="0" w:color="auto"/>
              <w:bottom w:val="single" w:sz="4" w:space="0" w:color="auto"/>
              <w:right w:val="single" w:sz="4" w:space="0" w:color="auto"/>
            </w:tcBorders>
            <w:vAlign w:val="center"/>
            <w:hideMark/>
          </w:tcPr>
          <w:p w14:paraId="7126A42A" w14:textId="77777777" w:rsidR="00D250A0" w:rsidRDefault="00D250A0" w:rsidP="000F3D1D">
            <w:pPr>
              <w:rPr>
                <w:b/>
                <w:bCs/>
                <w:sz w:val="22"/>
                <w:szCs w:val="22"/>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14:paraId="7274DEDC" w14:textId="77777777" w:rsidR="00D250A0" w:rsidRDefault="00D250A0" w:rsidP="000F3D1D">
            <w:pPr>
              <w:rPr>
                <w:b/>
                <w:bCs/>
                <w:sz w:val="22"/>
                <w:szCs w:val="22"/>
              </w:rPr>
            </w:pPr>
          </w:p>
        </w:tc>
        <w:tc>
          <w:tcPr>
            <w:tcW w:w="1612" w:type="dxa"/>
            <w:tcBorders>
              <w:top w:val="single" w:sz="4" w:space="0" w:color="auto"/>
              <w:left w:val="single" w:sz="4" w:space="0" w:color="auto"/>
              <w:bottom w:val="single" w:sz="4" w:space="0" w:color="auto"/>
              <w:right w:val="single" w:sz="4" w:space="0" w:color="auto"/>
            </w:tcBorders>
          </w:tcPr>
          <w:p w14:paraId="089684A7" w14:textId="77777777" w:rsidR="00D250A0" w:rsidRDefault="00D250A0" w:rsidP="000F3D1D">
            <w:pPr>
              <w:rPr>
                <w:sz w:val="22"/>
                <w:szCs w:val="22"/>
              </w:rPr>
            </w:pPr>
          </w:p>
        </w:tc>
        <w:tc>
          <w:tcPr>
            <w:tcW w:w="2279" w:type="dxa"/>
            <w:tcBorders>
              <w:top w:val="single" w:sz="4" w:space="0" w:color="auto"/>
              <w:left w:val="single" w:sz="4" w:space="0" w:color="auto"/>
              <w:bottom w:val="single" w:sz="4" w:space="0" w:color="auto"/>
              <w:right w:val="single" w:sz="4" w:space="0" w:color="auto"/>
            </w:tcBorders>
          </w:tcPr>
          <w:p w14:paraId="116BAF59" w14:textId="77777777" w:rsidR="00D250A0" w:rsidRDefault="00D250A0" w:rsidP="000F3D1D">
            <w:pPr>
              <w:rPr>
                <w:sz w:val="22"/>
                <w:szCs w:val="22"/>
              </w:rPr>
            </w:pPr>
            <w:r>
              <w:rPr>
                <w:sz w:val="22"/>
                <w:szCs w:val="22"/>
              </w:rPr>
              <w:t>£16,059.12 – Training Unit</w:t>
            </w:r>
          </w:p>
          <w:p w14:paraId="6B32910B" w14:textId="77777777" w:rsidR="00D250A0" w:rsidRDefault="00D250A0" w:rsidP="000F3D1D">
            <w:pPr>
              <w:rPr>
                <w:b/>
                <w:bCs/>
                <w:sz w:val="22"/>
                <w:szCs w:val="22"/>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0DF3372E" w14:textId="77777777" w:rsidR="00D250A0" w:rsidRDefault="00D250A0" w:rsidP="000F3D1D">
            <w:pPr>
              <w:rPr>
                <w:sz w:val="22"/>
                <w:szCs w:val="22"/>
              </w:rPr>
            </w:pPr>
          </w:p>
        </w:tc>
      </w:tr>
      <w:tr w:rsidR="00D250A0" w14:paraId="4F581408" w14:textId="77777777" w:rsidTr="000F3D1D">
        <w:trPr>
          <w:trHeight w:val="405"/>
        </w:trPr>
        <w:tc>
          <w:tcPr>
            <w:tcW w:w="1827" w:type="dxa"/>
            <w:vMerge w:val="restart"/>
            <w:tcBorders>
              <w:top w:val="single" w:sz="4" w:space="0" w:color="auto"/>
              <w:left w:val="single" w:sz="4" w:space="0" w:color="auto"/>
              <w:bottom w:val="single" w:sz="4" w:space="0" w:color="auto"/>
              <w:right w:val="single" w:sz="4" w:space="0" w:color="auto"/>
            </w:tcBorders>
            <w:hideMark/>
          </w:tcPr>
          <w:p w14:paraId="657EB3AD" w14:textId="77777777" w:rsidR="00D250A0" w:rsidRDefault="00D250A0" w:rsidP="000F3D1D">
            <w:pPr>
              <w:rPr>
                <w:b/>
                <w:bCs/>
                <w:sz w:val="22"/>
                <w:szCs w:val="22"/>
              </w:rPr>
            </w:pPr>
            <w:r>
              <w:rPr>
                <w:sz w:val="22"/>
                <w:szCs w:val="22"/>
              </w:rPr>
              <w:t>BLMK ICB</w:t>
            </w:r>
          </w:p>
        </w:tc>
        <w:tc>
          <w:tcPr>
            <w:tcW w:w="1664" w:type="dxa"/>
            <w:vMerge w:val="restart"/>
            <w:tcBorders>
              <w:top w:val="single" w:sz="4" w:space="0" w:color="auto"/>
              <w:left w:val="single" w:sz="4" w:space="0" w:color="auto"/>
              <w:bottom w:val="single" w:sz="4" w:space="0" w:color="auto"/>
              <w:right w:val="single" w:sz="4" w:space="0" w:color="auto"/>
            </w:tcBorders>
            <w:hideMark/>
          </w:tcPr>
          <w:p w14:paraId="48BFF1A7" w14:textId="77777777" w:rsidR="00D250A0" w:rsidRDefault="00D250A0" w:rsidP="000F3D1D">
            <w:pPr>
              <w:jc w:val="center"/>
              <w:rPr>
                <w:b/>
                <w:bCs/>
                <w:sz w:val="22"/>
                <w:szCs w:val="22"/>
              </w:rPr>
            </w:pPr>
            <w:r>
              <w:rPr>
                <w:sz w:val="22"/>
                <w:szCs w:val="22"/>
              </w:rPr>
              <w:t>£54,829.84</w:t>
            </w:r>
          </w:p>
        </w:tc>
        <w:tc>
          <w:tcPr>
            <w:tcW w:w="1612" w:type="dxa"/>
            <w:tcBorders>
              <w:top w:val="single" w:sz="4" w:space="0" w:color="auto"/>
              <w:left w:val="single" w:sz="4" w:space="0" w:color="auto"/>
              <w:bottom w:val="single" w:sz="4" w:space="0" w:color="auto"/>
              <w:right w:val="single" w:sz="4" w:space="0" w:color="auto"/>
            </w:tcBorders>
          </w:tcPr>
          <w:p w14:paraId="06A66C89" w14:textId="77777777" w:rsidR="00D250A0" w:rsidRDefault="00D250A0" w:rsidP="000F3D1D">
            <w:pPr>
              <w:rPr>
                <w:sz w:val="22"/>
                <w:szCs w:val="22"/>
              </w:rPr>
            </w:pPr>
          </w:p>
        </w:tc>
        <w:tc>
          <w:tcPr>
            <w:tcW w:w="2279" w:type="dxa"/>
            <w:tcBorders>
              <w:top w:val="single" w:sz="4" w:space="0" w:color="auto"/>
              <w:left w:val="single" w:sz="4" w:space="0" w:color="auto"/>
              <w:bottom w:val="single" w:sz="4" w:space="0" w:color="auto"/>
              <w:right w:val="single" w:sz="4" w:space="0" w:color="auto"/>
            </w:tcBorders>
          </w:tcPr>
          <w:p w14:paraId="399E8795" w14:textId="77777777" w:rsidR="00D250A0" w:rsidRDefault="00D250A0" w:rsidP="000F3D1D">
            <w:pPr>
              <w:rPr>
                <w:sz w:val="22"/>
                <w:szCs w:val="22"/>
              </w:rPr>
            </w:pPr>
            <w:r>
              <w:rPr>
                <w:sz w:val="22"/>
                <w:szCs w:val="22"/>
              </w:rPr>
              <w:t>£44,905.64 – Business Unit</w:t>
            </w:r>
          </w:p>
          <w:p w14:paraId="11C4215E" w14:textId="77777777" w:rsidR="00D250A0" w:rsidRDefault="00D250A0" w:rsidP="000F3D1D">
            <w:pPr>
              <w:rPr>
                <w:b/>
                <w:bCs/>
                <w:sz w:val="22"/>
                <w:szCs w:val="22"/>
              </w:rPr>
            </w:pPr>
          </w:p>
        </w:tc>
        <w:tc>
          <w:tcPr>
            <w:tcW w:w="1634" w:type="dxa"/>
            <w:vMerge w:val="restart"/>
            <w:tcBorders>
              <w:top w:val="single" w:sz="4" w:space="0" w:color="auto"/>
              <w:left w:val="single" w:sz="4" w:space="0" w:color="auto"/>
              <w:bottom w:val="single" w:sz="4" w:space="0" w:color="auto"/>
              <w:right w:val="single" w:sz="4" w:space="0" w:color="auto"/>
            </w:tcBorders>
            <w:hideMark/>
          </w:tcPr>
          <w:p w14:paraId="2C40DC81" w14:textId="77777777" w:rsidR="00D250A0" w:rsidRDefault="00D250A0" w:rsidP="000F3D1D">
            <w:pPr>
              <w:jc w:val="center"/>
              <w:rPr>
                <w:sz w:val="22"/>
                <w:szCs w:val="22"/>
              </w:rPr>
            </w:pPr>
            <w:r>
              <w:rPr>
                <w:sz w:val="22"/>
                <w:szCs w:val="22"/>
              </w:rPr>
              <w:t>26%</w:t>
            </w:r>
          </w:p>
        </w:tc>
      </w:tr>
      <w:tr w:rsidR="00D250A0" w14:paraId="1A90BB0B" w14:textId="77777777" w:rsidTr="000F3D1D">
        <w:trPr>
          <w:trHeight w:val="405"/>
        </w:trPr>
        <w:tc>
          <w:tcPr>
            <w:tcW w:w="1827" w:type="dxa"/>
            <w:vMerge/>
            <w:tcBorders>
              <w:top w:val="single" w:sz="4" w:space="0" w:color="auto"/>
              <w:left w:val="single" w:sz="4" w:space="0" w:color="auto"/>
              <w:bottom w:val="single" w:sz="4" w:space="0" w:color="auto"/>
              <w:right w:val="single" w:sz="4" w:space="0" w:color="auto"/>
            </w:tcBorders>
            <w:vAlign w:val="center"/>
            <w:hideMark/>
          </w:tcPr>
          <w:p w14:paraId="01056894" w14:textId="77777777" w:rsidR="00D250A0" w:rsidRDefault="00D250A0" w:rsidP="000F3D1D">
            <w:pPr>
              <w:rPr>
                <w:b/>
                <w:bCs/>
                <w:sz w:val="22"/>
                <w:szCs w:val="22"/>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14:paraId="478997EF" w14:textId="77777777" w:rsidR="00D250A0" w:rsidRDefault="00D250A0" w:rsidP="000F3D1D">
            <w:pPr>
              <w:rPr>
                <w:b/>
                <w:bCs/>
                <w:sz w:val="22"/>
                <w:szCs w:val="22"/>
              </w:rPr>
            </w:pPr>
          </w:p>
        </w:tc>
        <w:tc>
          <w:tcPr>
            <w:tcW w:w="1612" w:type="dxa"/>
            <w:tcBorders>
              <w:top w:val="single" w:sz="4" w:space="0" w:color="auto"/>
              <w:left w:val="single" w:sz="4" w:space="0" w:color="auto"/>
              <w:bottom w:val="single" w:sz="4" w:space="0" w:color="auto"/>
              <w:right w:val="single" w:sz="4" w:space="0" w:color="auto"/>
            </w:tcBorders>
          </w:tcPr>
          <w:p w14:paraId="04967F13" w14:textId="77777777" w:rsidR="00D250A0" w:rsidRDefault="00D250A0" w:rsidP="000F3D1D">
            <w:pPr>
              <w:rPr>
                <w:sz w:val="22"/>
                <w:szCs w:val="22"/>
              </w:rPr>
            </w:pPr>
          </w:p>
        </w:tc>
        <w:tc>
          <w:tcPr>
            <w:tcW w:w="2279" w:type="dxa"/>
            <w:tcBorders>
              <w:top w:val="single" w:sz="4" w:space="0" w:color="auto"/>
              <w:left w:val="single" w:sz="4" w:space="0" w:color="auto"/>
              <w:bottom w:val="single" w:sz="4" w:space="0" w:color="auto"/>
              <w:right w:val="single" w:sz="4" w:space="0" w:color="auto"/>
            </w:tcBorders>
          </w:tcPr>
          <w:p w14:paraId="1C95B347" w14:textId="77777777" w:rsidR="00D250A0" w:rsidRDefault="00D250A0" w:rsidP="000F3D1D">
            <w:pPr>
              <w:rPr>
                <w:sz w:val="22"/>
                <w:szCs w:val="22"/>
              </w:rPr>
            </w:pPr>
            <w:r>
              <w:rPr>
                <w:sz w:val="22"/>
                <w:szCs w:val="22"/>
              </w:rPr>
              <w:t>£9,924.20 – Training Unit</w:t>
            </w:r>
          </w:p>
          <w:p w14:paraId="360B6730" w14:textId="77777777" w:rsidR="00D250A0" w:rsidRDefault="00D250A0" w:rsidP="000F3D1D">
            <w:pPr>
              <w:rPr>
                <w:sz w:val="22"/>
                <w:szCs w:val="22"/>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6E825F59" w14:textId="77777777" w:rsidR="00D250A0" w:rsidRDefault="00D250A0" w:rsidP="000F3D1D">
            <w:pPr>
              <w:rPr>
                <w:sz w:val="22"/>
                <w:szCs w:val="22"/>
              </w:rPr>
            </w:pPr>
          </w:p>
        </w:tc>
      </w:tr>
      <w:tr w:rsidR="00D250A0" w14:paraId="1A8760F2" w14:textId="77777777" w:rsidTr="000F3D1D">
        <w:trPr>
          <w:trHeight w:val="135"/>
        </w:trPr>
        <w:tc>
          <w:tcPr>
            <w:tcW w:w="1827" w:type="dxa"/>
            <w:vMerge w:val="restart"/>
            <w:tcBorders>
              <w:top w:val="single" w:sz="4" w:space="0" w:color="auto"/>
              <w:left w:val="single" w:sz="4" w:space="0" w:color="auto"/>
              <w:bottom w:val="single" w:sz="4" w:space="0" w:color="auto"/>
              <w:right w:val="single" w:sz="4" w:space="0" w:color="auto"/>
            </w:tcBorders>
            <w:hideMark/>
          </w:tcPr>
          <w:p w14:paraId="3D644314" w14:textId="77777777" w:rsidR="00D250A0" w:rsidRDefault="00D250A0" w:rsidP="000F3D1D">
            <w:pPr>
              <w:rPr>
                <w:b/>
                <w:bCs/>
                <w:sz w:val="22"/>
                <w:szCs w:val="22"/>
              </w:rPr>
            </w:pPr>
            <w:r>
              <w:rPr>
                <w:sz w:val="22"/>
                <w:szCs w:val="22"/>
              </w:rPr>
              <w:t>Bedfordshire Police</w:t>
            </w:r>
          </w:p>
        </w:tc>
        <w:tc>
          <w:tcPr>
            <w:tcW w:w="1664" w:type="dxa"/>
            <w:vMerge w:val="restart"/>
            <w:tcBorders>
              <w:top w:val="single" w:sz="4" w:space="0" w:color="auto"/>
              <w:left w:val="single" w:sz="4" w:space="0" w:color="auto"/>
              <w:bottom w:val="single" w:sz="4" w:space="0" w:color="auto"/>
              <w:right w:val="single" w:sz="4" w:space="0" w:color="auto"/>
            </w:tcBorders>
            <w:hideMark/>
          </w:tcPr>
          <w:p w14:paraId="4A6E24F1" w14:textId="77777777" w:rsidR="00D250A0" w:rsidRDefault="00D250A0" w:rsidP="000F3D1D">
            <w:pPr>
              <w:jc w:val="center"/>
              <w:rPr>
                <w:b/>
                <w:bCs/>
                <w:sz w:val="22"/>
                <w:szCs w:val="22"/>
              </w:rPr>
            </w:pPr>
            <w:r>
              <w:rPr>
                <w:sz w:val="22"/>
                <w:szCs w:val="22"/>
              </w:rPr>
              <w:t>£19,991.61</w:t>
            </w:r>
          </w:p>
        </w:tc>
        <w:tc>
          <w:tcPr>
            <w:tcW w:w="1612" w:type="dxa"/>
            <w:tcBorders>
              <w:top w:val="single" w:sz="4" w:space="0" w:color="auto"/>
              <w:left w:val="single" w:sz="4" w:space="0" w:color="auto"/>
              <w:bottom w:val="single" w:sz="4" w:space="0" w:color="auto"/>
              <w:right w:val="single" w:sz="4" w:space="0" w:color="auto"/>
            </w:tcBorders>
          </w:tcPr>
          <w:p w14:paraId="7E8C00BF" w14:textId="77777777" w:rsidR="00D250A0" w:rsidRDefault="00D250A0" w:rsidP="000F3D1D">
            <w:pPr>
              <w:rPr>
                <w:sz w:val="22"/>
                <w:szCs w:val="22"/>
              </w:rPr>
            </w:pPr>
          </w:p>
        </w:tc>
        <w:tc>
          <w:tcPr>
            <w:tcW w:w="2279" w:type="dxa"/>
            <w:tcBorders>
              <w:top w:val="single" w:sz="4" w:space="0" w:color="auto"/>
              <w:left w:val="single" w:sz="4" w:space="0" w:color="auto"/>
              <w:bottom w:val="single" w:sz="4" w:space="0" w:color="auto"/>
              <w:right w:val="single" w:sz="4" w:space="0" w:color="auto"/>
            </w:tcBorders>
          </w:tcPr>
          <w:p w14:paraId="5C059F5D" w14:textId="77777777" w:rsidR="00D250A0" w:rsidRDefault="00D250A0" w:rsidP="000F3D1D">
            <w:pPr>
              <w:rPr>
                <w:sz w:val="22"/>
                <w:szCs w:val="22"/>
              </w:rPr>
            </w:pPr>
            <w:r>
              <w:rPr>
                <w:sz w:val="22"/>
                <w:szCs w:val="22"/>
              </w:rPr>
              <w:t>£16,373.13 – Business Unit</w:t>
            </w:r>
          </w:p>
          <w:p w14:paraId="5EBF95EA" w14:textId="77777777" w:rsidR="00D250A0" w:rsidRDefault="00D250A0" w:rsidP="000F3D1D">
            <w:pPr>
              <w:rPr>
                <w:b/>
                <w:bCs/>
                <w:sz w:val="22"/>
                <w:szCs w:val="22"/>
              </w:rPr>
            </w:pPr>
          </w:p>
        </w:tc>
        <w:tc>
          <w:tcPr>
            <w:tcW w:w="1634" w:type="dxa"/>
            <w:vMerge w:val="restart"/>
            <w:tcBorders>
              <w:top w:val="single" w:sz="4" w:space="0" w:color="auto"/>
              <w:left w:val="single" w:sz="4" w:space="0" w:color="auto"/>
              <w:bottom w:val="single" w:sz="4" w:space="0" w:color="auto"/>
              <w:right w:val="single" w:sz="4" w:space="0" w:color="auto"/>
            </w:tcBorders>
            <w:hideMark/>
          </w:tcPr>
          <w:p w14:paraId="76E717C2" w14:textId="77777777" w:rsidR="00D250A0" w:rsidRDefault="00D250A0" w:rsidP="000F3D1D">
            <w:pPr>
              <w:jc w:val="center"/>
              <w:rPr>
                <w:sz w:val="22"/>
                <w:szCs w:val="22"/>
              </w:rPr>
            </w:pPr>
            <w:r>
              <w:rPr>
                <w:sz w:val="22"/>
                <w:szCs w:val="22"/>
              </w:rPr>
              <w:t>10%</w:t>
            </w:r>
          </w:p>
        </w:tc>
      </w:tr>
      <w:tr w:rsidR="00D250A0" w14:paraId="061D9DB1" w14:textId="77777777" w:rsidTr="000F3D1D">
        <w:trPr>
          <w:trHeight w:val="135"/>
        </w:trPr>
        <w:tc>
          <w:tcPr>
            <w:tcW w:w="1827" w:type="dxa"/>
            <w:vMerge/>
            <w:tcBorders>
              <w:top w:val="single" w:sz="4" w:space="0" w:color="auto"/>
              <w:left w:val="single" w:sz="4" w:space="0" w:color="auto"/>
              <w:bottom w:val="single" w:sz="4" w:space="0" w:color="auto"/>
              <w:right w:val="single" w:sz="4" w:space="0" w:color="auto"/>
            </w:tcBorders>
            <w:vAlign w:val="center"/>
            <w:hideMark/>
          </w:tcPr>
          <w:p w14:paraId="569ED3F1" w14:textId="77777777" w:rsidR="00D250A0" w:rsidRDefault="00D250A0" w:rsidP="000F3D1D">
            <w:pPr>
              <w:rPr>
                <w:b/>
                <w:bCs/>
                <w:sz w:val="22"/>
                <w:szCs w:val="22"/>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14:paraId="2635AEF3" w14:textId="77777777" w:rsidR="00D250A0" w:rsidRDefault="00D250A0" w:rsidP="000F3D1D">
            <w:pPr>
              <w:rPr>
                <w:b/>
                <w:bCs/>
                <w:sz w:val="22"/>
                <w:szCs w:val="22"/>
              </w:rPr>
            </w:pPr>
          </w:p>
        </w:tc>
        <w:tc>
          <w:tcPr>
            <w:tcW w:w="1612" w:type="dxa"/>
            <w:tcBorders>
              <w:top w:val="single" w:sz="4" w:space="0" w:color="auto"/>
              <w:left w:val="single" w:sz="4" w:space="0" w:color="auto"/>
              <w:bottom w:val="single" w:sz="4" w:space="0" w:color="auto"/>
              <w:right w:val="single" w:sz="4" w:space="0" w:color="auto"/>
            </w:tcBorders>
          </w:tcPr>
          <w:p w14:paraId="7485776B" w14:textId="77777777" w:rsidR="00D250A0" w:rsidRDefault="00D250A0" w:rsidP="000F3D1D">
            <w:pPr>
              <w:rPr>
                <w:sz w:val="22"/>
                <w:szCs w:val="22"/>
              </w:rPr>
            </w:pPr>
          </w:p>
        </w:tc>
        <w:tc>
          <w:tcPr>
            <w:tcW w:w="2279" w:type="dxa"/>
            <w:tcBorders>
              <w:top w:val="single" w:sz="4" w:space="0" w:color="auto"/>
              <w:left w:val="single" w:sz="4" w:space="0" w:color="auto"/>
              <w:bottom w:val="single" w:sz="4" w:space="0" w:color="auto"/>
              <w:right w:val="single" w:sz="4" w:space="0" w:color="auto"/>
            </w:tcBorders>
          </w:tcPr>
          <w:p w14:paraId="3F43273A" w14:textId="77777777" w:rsidR="00D250A0" w:rsidRDefault="00D250A0" w:rsidP="000F3D1D">
            <w:pPr>
              <w:rPr>
                <w:sz w:val="22"/>
                <w:szCs w:val="22"/>
              </w:rPr>
            </w:pPr>
            <w:r>
              <w:rPr>
                <w:sz w:val="22"/>
                <w:szCs w:val="22"/>
              </w:rPr>
              <w:t>£3,618.48 – Training Unit</w:t>
            </w:r>
          </w:p>
          <w:p w14:paraId="0E44B085" w14:textId="77777777" w:rsidR="00D250A0" w:rsidRDefault="00D250A0" w:rsidP="000F3D1D">
            <w:pPr>
              <w:rPr>
                <w:b/>
                <w:bCs/>
                <w:sz w:val="22"/>
                <w:szCs w:val="22"/>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7C3486A0" w14:textId="77777777" w:rsidR="00D250A0" w:rsidRDefault="00D250A0" w:rsidP="000F3D1D">
            <w:pPr>
              <w:rPr>
                <w:sz w:val="22"/>
                <w:szCs w:val="22"/>
              </w:rPr>
            </w:pPr>
          </w:p>
        </w:tc>
      </w:tr>
      <w:tr w:rsidR="00D250A0" w14:paraId="77B69D3D" w14:textId="77777777" w:rsidTr="000F3D1D">
        <w:trPr>
          <w:trHeight w:val="135"/>
        </w:trPr>
        <w:tc>
          <w:tcPr>
            <w:tcW w:w="1827" w:type="dxa"/>
            <w:vMerge w:val="restart"/>
            <w:tcBorders>
              <w:top w:val="single" w:sz="4" w:space="0" w:color="auto"/>
              <w:left w:val="single" w:sz="4" w:space="0" w:color="auto"/>
              <w:bottom w:val="single" w:sz="4" w:space="0" w:color="auto"/>
              <w:right w:val="single" w:sz="4" w:space="0" w:color="auto"/>
            </w:tcBorders>
            <w:hideMark/>
          </w:tcPr>
          <w:p w14:paraId="393742A1" w14:textId="77777777" w:rsidR="00D250A0" w:rsidRDefault="00D250A0" w:rsidP="000F3D1D">
            <w:pPr>
              <w:rPr>
                <w:b/>
                <w:bCs/>
                <w:sz w:val="22"/>
                <w:szCs w:val="22"/>
              </w:rPr>
            </w:pPr>
            <w:r>
              <w:rPr>
                <w:sz w:val="22"/>
                <w:szCs w:val="22"/>
              </w:rPr>
              <w:t>Probation</w:t>
            </w:r>
          </w:p>
        </w:tc>
        <w:tc>
          <w:tcPr>
            <w:tcW w:w="1664" w:type="dxa"/>
            <w:vMerge w:val="restart"/>
            <w:tcBorders>
              <w:top w:val="single" w:sz="4" w:space="0" w:color="auto"/>
              <w:left w:val="single" w:sz="4" w:space="0" w:color="auto"/>
              <w:bottom w:val="single" w:sz="4" w:space="0" w:color="auto"/>
              <w:right w:val="single" w:sz="4" w:space="0" w:color="auto"/>
            </w:tcBorders>
            <w:hideMark/>
          </w:tcPr>
          <w:p w14:paraId="1803DE3A" w14:textId="77777777" w:rsidR="00D250A0" w:rsidRDefault="00D250A0" w:rsidP="000F3D1D">
            <w:pPr>
              <w:jc w:val="center"/>
              <w:rPr>
                <w:b/>
                <w:bCs/>
                <w:sz w:val="22"/>
                <w:szCs w:val="22"/>
              </w:rPr>
            </w:pPr>
            <w:r>
              <w:rPr>
                <w:sz w:val="22"/>
                <w:szCs w:val="22"/>
              </w:rPr>
              <w:t>£2,200</w:t>
            </w:r>
          </w:p>
        </w:tc>
        <w:tc>
          <w:tcPr>
            <w:tcW w:w="1612" w:type="dxa"/>
            <w:tcBorders>
              <w:top w:val="single" w:sz="4" w:space="0" w:color="auto"/>
              <w:left w:val="single" w:sz="4" w:space="0" w:color="auto"/>
              <w:bottom w:val="single" w:sz="4" w:space="0" w:color="auto"/>
              <w:right w:val="single" w:sz="4" w:space="0" w:color="auto"/>
            </w:tcBorders>
          </w:tcPr>
          <w:p w14:paraId="67711256" w14:textId="77777777" w:rsidR="00D250A0" w:rsidRDefault="00D250A0" w:rsidP="000F3D1D">
            <w:pPr>
              <w:rPr>
                <w:sz w:val="22"/>
                <w:szCs w:val="22"/>
              </w:rPr>
            </w:pPr>
          </w:p>
        </w:tc>
        <w:tc>
          <w:tcPr>
            <w:tcW w:w="2279" w:type="dxa"/>
            <w:tcBorders>
              <w:top w:val="single" w:sz="4" w:space="0" w:color="auto"/>
              <w:left w:val="single" w:sz="4" w:space="0" w:color="auto"/>
              <w:bottom w:val="single" w:sz="4" w:space="0" w:color="auto"/>
              <w:right w:val="single" w:sz="4" w:space="0" w:color="auto"/>
            </w:tcBorders>
          </w:tcPr>
          <w:p w14:paraId="77D96114" w14:textId="77777777" w:rsidR="00D250A0" w:rsidRDefault="00D250A0" w:rsidP="000F3D1D">
            <w:pPr>
              <w:rPr>
                <w:sz w:val="22"/>
                <w:szCs w:val="22"/>
              </w:rPr>
            </w:pPr>
            <w:r>
              <w:rPr>
                <w:sz w:val="22"/>
                <w:szCs w:val="22"/>
              </w:rPr>
              <w:t>£1,801.80 – Business Unit</w:t>
            </w:r>
          </w:p>
          <w:p w14:paraId="696E356C" w14:textId="77777777" w:rsidR="00D250A0" w:rsidRDefault="00D250A0" w:rsidP="000F3D1D">
            <w:pPr>
              <w:rPr>
                <w:b/>
                <w:bCs/>
                <w:sz w:val="22"/>
                <w:szCs w:val="22"/>
              </w:rPr>
            </w:pPr>
          </w:p>
        </w:tc>
        <w:tc>
          <w:tcPr>
            <w:tcW w:w="1634" w:type="dxa"/>
            <w:vMerge w:val="restart"/>
            <w:tcBorders>
              <w:top w:val="single" w:sz="4" w:space="0" w:color="auto"/>
              <w:left w:val="single" w:sz="4" w:space="0" w:color="auto"/>
              <w:bottom w:val="single" w:sz="4" w:space="0" w:color="auto"/>
              <w:right w:val="single" w:sz="4" w:space="0" w:color="auto"/>
            </w:tcBorders>
            <w:hideMark/>
          </w:tcPr>
          <w:p w14:paraId="4404657F" w14:textId="77777777" w:rsidR="00D250A0" w:rsidRDefault="00D250A0" w:rsidP="000F3D1D">
            <w:pPr>
              <w:jc w:val="center"/>
              <w:rPr>
                <w:sz w:val="22"/>
                <w:szCs w:val="22"/>
              </w:rPr>
            </w:pPr>
            <w:r>
              <w:rPr>
                <w:sz w:val="22"/>
                <w:szCs w:val="22"/>
              </w:rPr>
              <w:t>1%</w:t>
            </w:r>
          </w:p>
        </w:tc>
      </w:tr>
      <w:tr w:rsidR="00D250A0" w14:paraId="6C55992C" w14:textId="77777777" w:rsidTr="000F3D1D">
        <w:trPr>
          <w:trHeight w:val="135"/>
        </w:trPr>
        <w:tc>
          <w:tcPr>
            <w:tcW w:w="1827" w:type="dxa"/>
            <w:vMerge/>
            <w:tcBorders>
              <w:top w:val="single" w:sz="4" w:space="0" w:color="auto"/>
              <w:left w:val="single" w:sz="4" w:space="0" w:color="auto"/>
              <w:bottom w:val="single" w:sz="4" w:space="0" w:color="auto"/>
              <w:right w:val="single" w:sz="4" w:space="0" w:color="auto"/>
            </w:tcBorders>
            <w:vAlign w:val="center"/>
            <w:hideMark/>
          </w:tcPr>
          <w:p w14:paraId="33BB20C7" w14:textId="77777777" w:rsidR="00D250A0" w:rsidRDefault="00D250A0" w:rsidP="000F3D1D">
            <w:pPr>
              <w:rPr>
                <w:b/>
                <w:bCs/>
                <w:sz w:val="22"/>
                <w:szCs w:val="22"/>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14:paraId="2CE53043" w14:textId="77777777" w:rsidR="00D250A0" w:rsidRDefault="00D250A0" w:rsidP="000F3D1D">
            <w:pPr>
              <w:rPr>
                <w:b/>
                <w:bCs/>
                <w:sz w:val="22"/>
                <w:szCs w:val="22"/>
              </w:rPr>
            </w:pPr>
          </w:p>
        </w:tc>
        <w:tc>
          <w:tcPr>
            <w:tcW w:w="1612" w:type="dxa"/>
            <w:tcBorders>
              <w:top w:val="single" w:sz="4" w:space="0" w:color="auto"/>
              <w:left w:val="single" w:sz="4" w:space="0" w:color="auto"/>
              <w:bottom w:val="single" w:sz="4" w:space="0" w:color="auto"/>
              <w:right w:val="single" w:sz="4" w:space="0" w:color="auto"/>
            </w:tcBorders>
          </w:tcPr>
          <w:p w14:paraId="6F793621" w14:textId="77777777" w:rsidR="00D250A0" w:rsidRDefault="00D250A0" w:rsidP="000F3D1D">
            <w:pPr>
              <w:rPr>
                <w:sz w:val="22"/>
                <w:szCs w:val="22"/>
              </w:rPr>
            </w:pPr>
          </w:p>
        </w:tc>
        <w:tc>
          <w:tcPr>
            <w:tcW w:w="2279" w:type="dxa"/>
            <w:tcBorders>
              <w:top w:val="single" w:sz="4" w:space="0" w:color="auto"/>
              <w:left w:val="single" w:sz="4" w:space="0" w:color="auto"/>
              <w:bottom w:val="single" w:sz="4" w:space="0" w:color="auto"/>
              <w:right w:val="single" w:sz="4" w:space="0" w:color="auto"/>
            </w:tcBorders>
          </w:tcPr>
          <w:p w14:paraId="181E8E3F" w14:textId="77777777" w:rsidR="00D250A0" w:rsidRDefault="00D250A0" w:rsidP="000F3D1D">
            <w:pPr>
              <w:rPr>
                <w:sz w:val="22"/>
                <w:szCs w:val="22"/>
              </w:rPr>
            </w:pPr>
            <w:r>
              <w:rPr>
                <w:sz w:val="22"/>
                <w:szCs w:val="22"/>
              </w:rPr>
              <w:t>£398.20 – Training Unit</w:t>
            </w:r>
          </w:p>
          <w:p w14:paraId="6743BCE8" w14:textId="77777777" w:rsidR="00D250A0" w:rsidRDefault="00D250A0" w:rsidP="000F3D1D">
            <w:pPr>
              <w:rPr>
                <w:b/>
                <w:bCs/>
                <w:sz w:val="22"/>
                <w:szCs w:val="22"/>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2CB30F10" w14:textId="77777777" w:rsidR="00D250A0" w:rsidRDefault="00D250A0" w:rsidP="000F3D1D">
            <w:pPr>
              <w:rPr>
                <w:sz w:val="22"/>
                <w:szCs w:val="22"/>
              </w:rPr>
            </w:pPr>
          </w:p>
        </w:tc>
      </w:tr>
      <w:tr w:rsidR="00D250A0" w14:paraId="4E845480" w14:textId="77777777" w:rsidTr="000F3D1D">
        <w:tc>
          <w:tcPr>
            <w:tcW w:w="1827" w:type="dxa"/>
            <w:tcBorders>
              <w:top w:val="single" w:sz="4" w:space="0" w:color="auto"/>
              <w:left w:val="single" w:sz="4" w:space="0" w:color="auto"/>
              <w:bottom w:val="single" w:sz="4" w:space="0" w:color="auto"/>
              <w:right w:val="single" w:sz="4" w:space="0" w:color="auto"/>
            </w:tcBorders>
            <w:hideMark/>
          </w:tcPr>
          <w:p w14:paraId="2AE22E50" w14:textId="77777777" w:rsidR="00D250A0" w:rsidRDefault="00D250A0" w:rsidP="000F3D1D">
            <w:pPr>
              <w:rPr>
                <w:b/>
                <w:bCs/>
                <w:sz w:val="22"/>
                <w:szCs w:val="22"/>
              </w:rPr>
            </w:pPr>
            <w:r>
              <w:rPr>
                <w:b/>
                <w:bCs/>
                <w:sz w:val="22"/>
                <w:szCs w:val="22"/>
              </w:rPr>
              <w:t>Total Budgets</w:t>
            </w:r>
          </w:p>
        </w:tc>
        <w:tc>
          <w:tcPr>
            <w:tcW w:w="1664" w:type="dxa"/>
            <w:tcBorders>
              <w:top w:val="single" w:sz="4" w:space="0" w:color="auto"/>
              <w:left w:val="single" w:sz="4" w:space="0" w:color="auto"/>
              <w:bottom w:val="single" w:sz="4" w:space="0" w:color="auto"/>
              <w:right w:val="single" w:sz="4" w:space="0" w:color="auto"/>
            </w:tcBorders>
            <w:hideMark/>
          </w:tcPr>
          <w:p w14:paraId="42177A52" w14:textId="77777777" w:rsidR="00D250A0" w:rsidRDefault="00D250A0" w:rsidP="000F3D1D">
            <w:pPr>
              <w:jc w:val="center"/>
              <w:rPr>
                <w:b/>
                <w:bCs/>
                <w:sz w:val="22"/>
                <w:szCs w:val="22"/>
              </w:rPr>
            </w:pPr>
            <w:r>
              <w:rPr>
                <w:b/>
                <w:bCs/>
                <w:sz w:val="22"/>
                <w:szCs w:val="22"/>
              </w:rPr>
              <w:t>£210,062.90</w:t>
            </w:r>
          </w:p>
        </w:tc>
        <w:tc>
          <w:tcPr>
            <w:tcW w:w="1612" w:type="dxa"/>
            <w:tcBorders>
              <w:top w:val="single" w:sz="4" w:space="0" w:color="auto"/>
              <w:left w:val="single" w:sz="4" w:space="0" w:color="auto"/>
              <w:bottom w:val="single" w:sz="4" w:space="0" w:color="auto"/>
              <w:right w:val="single" w:sz="4" w:space="0" w:color="auto"/>
            </w:tcBorders>
          </w:tcPr>
          <w:p w14:paraId="19BC6BAA" w14:textId="77777777" w:rsidR="00D250A0" w:rsidRDefault="00D250A0" w:rsidP="000F3D1D">
            <w:pPr>
              <w:rPr>
                <w:b/>
                <w:bCs/>
                <w:sz w:val="22"/>
                <w:szCs w:val="22"/>
              </w:rPr>
            </w:pPr>
          </w:p>
        </w:tc>
        <w:tc>
          <w:tcPr>
            <w:tcW w:w="2279" w:type="dxa"/>
            <w:tcBorders>
              <w:top w:val="single" w:sz="4" w:space="0" w:color="auto"/>
              <w:left w:val="single" w:sz="4" w:space="0" w:color="auto"/>
              <w:bottom w:val="single" w:sz="4" w:space="0" w:color="auto"/>
              <w:right w:val="single" w:sz="4" w:space="0" w:color="auto"/>
            </w:tcBorders>
          </w:tcPr>
          <w:p w14:paraId="6C7B245C" w14:textId="77777777" w:rsidR="00D250A0" w:rsidRDefault="00D250A0" w:rsidP="000F3D1D">
            <w:pPr>
              <w:rPr>
                <w:b/>
                <w:bCs/>
                <w:sz w:val="22"/>
                <w:szCs w:val="22"/>
              </w:rPr>
            </w:pPr>
            <w:r>
              <w:rPr>
                <w:b/>
                <w:bCs/>
                <w:sz w:val="22"/>
                <w:szCs w:val="22"/>
              </w:rPr>
              <w:t>Business Unit - £180,062.90</w:t>
            </w:r>
          </w:p>
          <w:p w14:paraId="4B2EC1D3" w14:textId="77777777" w:rsidR="00D250A0" w:rsidRDefault="00D250A0" w:rsidP="000F3D1D">
            <w:pPr>
              <w:rPr>
                <w:b/>
                <w:bCs/>
                <w:sz w:val="22"/>
                <w:szCs w:val="22"/>
              </w:rPr>
            </w:pPr>
          </w:p>
          <w:p w14:paraId="5BCEA4C6" w14:textId="77777777" w:rsidR="00D250A0" w:rsidRDefault="00D250A0" w:rsidP="000F3D1D">
            <w:pPr>
              <w:rPr>
                <w:b/>
                <w:bCs/>
                <w:sz w:val="22"/>
                <w:szCs w:val="22"/>
              </w:rPr>
            </w:pPr>
            <w:r>
              <w:rPr>
                <w:b/>
                <w:bCs/>
                <w:sz w:val="22"/>
                <w:szCs w:val="22"/>
              </w:rPr>
              <w:t>Training Unit - £30,000.00*</w:t>
            </w:r>
          </w:p>
        </w:tc>
        <w:tc>
          <w:tcPr>
            <w:tcW w:w="1634" w:type="dxa"/>
            <w:tcBorders>
              <w:top w:val="single" w:sz="4" w:space="0" w:color="auto"/>
              <w:left w:val="single" w:sz="4" w:space="0" w:color="auto"/>
              <w:bottom w:val="single" w:sz="4" w:space="0" w:color="auto"/>
              <w:right w:val="single" w:sz="4" w:space="0" w:color="auto"/>
            </w:tcBorders>
          </w:tcPr>
          <w:p w14:paraId="21943A11" w14:textId="77777777" w:rsidR="00D250A0" w:rsidRDefault="00D250A0" w:rsidP="000F3D1D">
            <w:pPr>
              <w:jc w:val="center"/>
              <w:rPr>
                <w:sz w:val="22"/>
                <w:szCs w:val="22"/>
              </w:rPr>
            </w:pPr>
          </w:p>
        </w:tc>
      </w:tr>
    </w:tbl>
    <w:p w14:paraId="45AA806D" w14:textId="77777777" w:rsidR="00D250A0" w:rsidRDefault="00D250A0" w:rsidP="00D250A0">
      <w:pPr>
        <w:spacing w:after="0" w:line="240" w:lineRule="auto"/>
        <w:rPr>
          <w:b/>
          <w:bCs/>
        </w:rPr>
      </w:pPr>
    </w:p>
    <w:p w14:paraId="390DABD7" w14:textId="77777777" w:rsidR="00D250A0" w:rsidRDefault="00D250A0" w:rsidP="00D250A0">
      <w:pPr>
        <w:spacing w:after="0" w:line="240" w:lineRule="auto"/>
        <w:rPr>
          <w:b/>
          <w:bCs/>
        </w:rPr>
      </w:pPr>
      <w:r>
        <w:rPr>
          <w:b/>
          <w:bCs/>
        </w:rPr>
        <w:t>Business Unit Spend 2024/25:</w:t>
      </w:r>
    </w:p>
    <w:p w14:paraId="5C863391" w14:textId="77777777" w:rsidR="00D250A0" w:rsidRDefault="00D250A0" w:rsidP="00D250A0">
      <w:pPr>
        <w:spacing w:after="0" w:line="240" w:lineRule="auto"/>
        <w:rPr>
          <w:b/>
          <w:bCs/>
        </w:rPr>
      </w:pPr>
    </w:p>
    <w:p w14:paraId="23752110" w14:textId="77777777" w:rsidR="00D250A0" w:rsidRPr="00F030F8" w:rsidRDefault="00D250A0" w:rsidP="00D250A0">
      <w:pPr>
        <w:spacing w:after="0" w:line="240" w:lineRule="auto"/>
        <w:rPr>
          <w:b/>
          <w:bCs/>
        </w:rPr>
      </w:pPr>
      <w:r>
        <w:t>Annual contributions:</w:t>
      </w:r>
      <w:r>
        <w:tab/>
        <w:t>£180,062.90</w:t>
      </w:r>
    </w:p>
    <w:p w14:paraId="5F821F0E" w14:textId="77777777" w:rsidR="00D250A0" w:rsidRDefault="00D250A0" w:rsidP="00D250A0">
      <w:pPr>
        <w:spacing w:after="0" w:line="240" w:lineRule="auto"/>
      </w:pPr>
      <w:r>
        <w:t xml:space="preserve">Previous carried forward: </w:t>
      </w:r>
      <w:r>
        <w:tab/>
        <w:t>£   79,390.23</w:t>
      </w:r>
    </w:p>
    <w:p w14:paraId="1DEE376D" w14:textId="77777777" w:rsidR="00D250A0" w:rsidRDefault="00D250A0" w:rsidP="00D250A0">
      <w:pPr>
        <w:spacing w:after="0" w:line="240" w:lineRule="auto"/>
      </w:pPr>
      <w:r>
        <w:t>2024/25 Spend:</w:t>
      </w:r>
      <w:r>
        <w:tab/>
      </w:r>
      <w:r>
        <w:tab/>
        <w:t>£175,750.18</w:t>
      </w:r>
    </w:p>
    <w:p w14:paraId="56D1142F" w14:textId="77777777" w:rsidR="00D250A0" w:rsidRDefault="00D250A0" w:rsidP="00D250A0">
      <w:pPr>
        <w:rPr>
          <w:b/>
          <w:bCs/>
        </w:rPr>
      </w:pPr>
    </w:p>
    <w:p w14:paraId="2E0022C5" w14:textId="77777777" w:rsidR="00D250A0" w:rsidRDefault="00D250A0" w:rsidP="00D250A0">
      <w:pPr>
        <w:rPr>
          <w:b/>
          <w:bCs/>
        </w:rPr>
      </w:pPr>
      <w:r>
        <w:rPr>
          <w:b/>
          <w:bCs/>
        </w:rPr>
        <w:t>Breakdown 2024/25:</w:t>
      </w:r>
    </w:p>
    <w:tbl>
      <w:tblPr>
        <w:tblStyle w:val="TableGrid"/>
        <w:tblW w:w="0" w:type="auto"/>
        <w:tblLook w:val="04A0" w:firstRow="1" w:lastRow="0" w:firstColumn="1" w:lastColumn="0" w:noHBand="0" w:noVBand="1"/>
      </w:tblPr>
      <w:tblGrid>
        <w:gridCol w:w="3078"/>
        <w:gridCol w:w="3438"/>
      </w:tblGrid>
      <w:tr w:rsidR="00D250A0" w14:paraId="7E91278A" w14:textId="77777777" w:rsidTr="000F3D1D">
        <w:tc>
          <w:tcPr>
            <w:tcW w:w="3078"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5642B549" w14:textId="77777777" w:rsidR="00D250A0" w:rsidRDefault="00D250A0" w:rsidP="000F3D1D">
            <w:pPr>
              <w:jc w:val="center"/>
              <w:rPr>
                <w:b/>
                <w:bCs/>
                <w:sz w:val="22"/>
                <w:szCs w:val="22"/>
              </w:rPr>
            </w:pPr>
            <w:r>
              <w:rPr>
                <w:b/>
                <w:bCs/>
                <w:sz w:val="22"/>
                <w:szCs w:val="22"/>
              </w:rPr>
              <w:t>Expenditure</w:t>
            </w:r>
          </w:p>
        </w:tc>
        <w:tc>
          <w:tcPr>
            <w:tcW w:w="3438"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58318391" w14:textId="77777777" w:rsidR="00D250A0" w:rsidRDefault="00D250A0" w:rsidP="000F3D1D">
            <w:pPr>
              <w:jc w:val="center"/>
              <w:rPr>
                <w:b/>
                <w:bCs/>
                <w:sz w:val="22"/>
                <w:szCs w:val="22"/>
              </w:rPr>
            </w:pPr>
            <w:r>
              <w:rPr>
                <w:b/>
                <w:bCs/>
                <w:sz w:val="22"/>
                <w:szCs w:val="22"/>
              </w:rPr>
              <w:t>Amount</w:t>
            </w:r>
          </w:p>
        </w:tc>
      </w:tr>
      <w:tr w:rsidR="00D250A0" w14:paraId="52449778" w14:textId="77777777" w:rsidTr="000F3D1D">
        <w:tc>
          <w:tcPr>
            <w:tcW w:w="3078" w:type="dxa"/>
            <w:tcBorders>
              <w:top w:val="single" w:sz="4" w:space="0" w:color="auto"/>
              <w:left w:val="single" w:sz="4" w:space="0" w:color="auto"/>
              <w:bottom w:val="single" w:sz="4" w:space="0" w:color="auto"/>
              <w:right w:val="single" w:sz="4" w:space="0" w:color="auto"/>
            </w:tcBorders>
          </w:tcPr>
          <w:p w14:paraId="21A6DF7B" w14:textId="77777777" w:rsidR="00D250A0" w:rsidRDefault="00D250A0" w:rsidP="000F3D1D">
            <w:pPr>
              <w:rPr>
                <w:rFonts w:cstheme="minorHAnsi"/>
                <w:sz w:val="22"/>
                <w:szCs w:val="22"/>
              </w:rPr>
            </w:pPr>
            <w:r>
              <w:rPr>
                <w:rFonts w:cstheme="minorHAnsi"/>
                <w:sz w:val="22"/>
                <w:szCs w:val="22"/>
              </w:rPr>
              <w:lastRenderedPageBreak/>
              <w:t xml:space="preserve">Staffing </w:t>
            </w:r>
          </w:p>
          <w:p w14:paraId="19D83F63" w14:textId="77777777" w:rsidR="00D250A0" w:rsidRDefault="00D250A0" w:rsidP="000F3D1D">
            <w:pPr>
              <w:rPr>
                <w:b/>
                <w:bCs/>
                <w:sz w:val="22"/>
                <w:szCs w:val="22"/>
              </w:rPr>
            </w:pPr>
          </w:p>
        </w:tc>
        <w:tc>
          <w:tcPr>
            <w:tcW w:w="3438" w:type="dxa"/>
            <w:tcBorders>
              <w:top w:val="single" w:sz="4" w:space="0" w:color="auto"/>
              <w:left w:val="single" w:sz="4" w:space="0" w:color="auto"/>
              <w:bottom w:val="single" w:sz="4" w:space="0" w:color="auto"/>
              <w:right w:val="single" w:sz="4" w:space="0" w:color="auto"/>
            </w:tcBorders>
          </w:tcPr>
          <w:p w14:paraId="18047A4E" w14:textId="77777777" w:rsidR="00D250A0" w:rsidRDefault="00D250A0" w:rsidP="000F3D1D">
            <w:pPr>
              <w:jc w:val="center"/>
              <w:rPr>
                <w:sz w:val="22"/>
                <w:szCs w:val="22"/>
              </w:rPr>
            </w:pPr>
            <w:r>
              <w:rPr>
                <w:sz w:val="22"/>
                <w:szCs w:val="22"/>
              </w:rPr>
              <w:t>£133,451.90</w:t>
            </w:r>
          </w:p>
          <w:p w14:paraId="7ED4C4CB" w14:textId="77777777" w:rsidR="00D250A0" w:rsidRDefault="00D250A0" w:rsidP="000F3D1D">
            <w:pPr>
              <w:jc w:val="center"/>
              <w:rPr>
                <w:rFonts w:ascii="Arial" w:hAnsi="Arial" w:cs="Arial"/>
                <w:sz w:val="20"/>
                <w:szCs w:val="20"/>
              </w:rPr>
            </w:pPr>
            <w:r>
              <w:rPr>
                <w:rFonts w:ascii="Arial" w:hAnsi="Arial" w:cs="Arial"/>
                <w:sz w:val="20"/>
                <w:szCs w:val="20"/>
              </w:rPr>
              <w:t xml:space="preserve"> </w:t>
            </w:r>
          </w:p>
          <w:p w14:paraId="438EA45F" w14:textId="77777777" w:rsidR="00D250A0" w:rsidRDefault="00D250A0" w:rsidP="000F3D1D">
            <w:pPr>
              <w:jc w:val="center"/>
              <w:rPr>
                <w:b/>
                <w:bCs/>
                <w:sz w:val="22"/>
                <w:szCs w:val="22"/>
              </w:rPr>
            </w:pPr>
          </w:p>
        </w:tc>
      </w:tr>
      <w:tr w:rsidR="00D250A0" w14:paraId="4CD99730" w14:textId="77777777" w:rsidTr="000F3D1D">
        <w:tc>
          <w:tcPr>
            <w:tcW w:w="3078" w:type="dxa"/>
            <w:tcBorders>
              <w:top w:val="single" w:sz="4" w:space="0" w:color="auto"/>
              <w:left w:val="single" w:sz="4" w:space="0" w:color="auto"/>
              <w:bottom w:val="single" w:sz="4" w:space="0" w:color="auto"/>
              <w:right w:val="single" w:sz="4" w:space="0" w:color="auto"/>
            </w:tcBorders>
          </w:tcPr>
          <w:p w14:paraId="2C73B0F5" w14:textId="77777777" w:rsidR="00D250A0" w:rsidRDefault="00D250A0" w:rsidP="000F3D1D">
            <w:pPr>
              <w:rPr>
                <w:sz w:val="22"/>
                <w:szCs w:val="22"/>
              </w:rPr>
            </w:pPr>
            <w:r>
              <w:rPr>
                <w:sz w:val="22"/>
                <w:szCs w:val="22"/>
              </w:rPr>
              <w:t>Independent Chair/Scrutineer</w:t>
            </w:r>
          </w:p>
          <w:p w14:paraId="6D588317" w14:textId="77777777" w:rsidR="00D250A0" w:rsidRDefault="00D250A0" w:rsidP="000F3D1D">
            <w:pPr>
              <w:rPr>
                <w:sz w:val="22"/>
                <w:szCs w:val="22"/>
              </w:rPr>
            </w:pPr>
          </w:p>
        </w:tc>
        <w:tc>
          <w:tcPr>
            <w:tcW w:w="3438" w:type="dxa"/>
            <w:tcBorders>
              <w:top w:val="single" w:sz="4" w:space="0" w:color="auto"/>
              <w:left w:val="single" w:sz="4" w:space="0" w:color="auto"/>
              <w:bottom w:val="single" w:sz="4" w:space="0" w:color="auto"/>
              <w:right w:val="single" w:sz="4" w:space="0" w:color="auto"/>
            </w:tcBorders>
            <w:hideMark/>
          </w:tcPr>
          <w:p w14:paraId="77A9EC42" w14:textId="77777777" w:rsidR="00D250A0" w:rsidRDefault="00D250A0" w:rsidP="000F3D1D">
            <w:pPr>
              <w:jc w:val="center"/>
              <w:rPr>
                <w:b/>
                <w:bCs/>
                <w:sz w:val="22"/>
                <w:szCs w:val="22"/>
              </w:rPr>
            </w:pPr>
            <w:r>
              <w:rPr>
                <w:rFonts w:cstheme="minorHAnsi"/>
                <w:sz w:val="22"/>
                <w:szCs w:val="22"/>
              </w:rPr>
              <w:t>£21,000</w:t>
            </w:r>
          </w:p>
        </w:tc>
      </w:tr>
      <w:tr w:rsidR="00D250A0" w14:paraId="6BFC1E0E" w14:textId="77777777" w:rsidTr="000F3D1D">
        <w:tc>
          <w:tcPr>
            <w:tcW w:w="3078" w:type="dxa"/>
            <w:tcBorders>
              <w:top w:val="single" w:sz="4" w:space="0" w:color="auto"/>
              <w:left w:val="single" w:sz="4" w:space="0" w:color="auto"/>
              <w:bottom w:val="single" w:sz="4" w:space="0" w:color="auto"/>
              <w:right w:val="single" w:sz="4" w:space="0" w:color="auto"/>
            </w:tcBorders>
            <w:hideMark/>
          </w:tcPr>
          <w:p w14:paraId="5289E5FA" w14:textId="77777777" w:rsidR="00D250A0" w:rsidRDefault="00D250A0" w:rsidP="000F3D1D">
            <w:pPr>
              <w:rPr>
                <w:sz w:val="22"/>
                <w:szCs w:val="22"/>
              </w:rPr>
            </w:pPr>
            <w:r>
              <w:rPr>
                <w:sz w:val="22"/>
                <w:szCs w:val="22"/>
              </w:rPr>
              <w:t xml:space="preserve">Car Mileage (Independent Scrutineer) </w:t>
            </w:r>
          </w:p>
        </w:tc>
        <w:tc>
          <w:tcPr>
            <w:tcW w:w="3438" w:type="dxa"/>
            <w:tcBorders>
              <w:top w:val="single" w:sz="4" w:space="0" w:color="auto"/>
              <w:left w:val="single" w:sz="4" w:space="0" w:color="auto"/>
              <w:bottom w:val="single" w:sz="4" w:space="0" w:color="auto"/>
              <w:right w:val="single" w:sz="4" w:space="0" w:color="auto"/>
            </w:tcBorders>
            <w:hideMark/>
          </w:tcPr>
          <w:p w14:paraId="0F4883FC" w14:textId="77777777" w:rsidR="00D250A0" w:rsidRDefault="00D250A0" w:rsidP="000F3D1D">
            <w:pPr>
              <w:jc w:val="center"/>
              <w:rPr>
                <w:sz w:val="22"/>
                <w:szCs w:val="22"/>
              </w:rPr>
            </w:pPr>
            <w:r>
              <w:rPr>
                <w:sz w:val="22"/>
                <w:szCs w:val="22"/>
              </w:rPr>
              <w:t>£719.37</w:t>
            </w:r>
          </w:p>
        </w:tc>
      </w:tr>
      <w:tr w:rsidR="00D250A0" w14:paraId="75CB3D1B" w14:textId="77777777" w:rsidTr="000F3D1D">
        <w:tc>
          <w:tcPr>
            <w:tcW w:w="3078" w:type="dxa"/>
            <w:tcBorders>
              <w:top w:val="single" w:sz="4" w:space="0" w:color="auto"/>
              <w:left w:val="single" w:sz="4" w:space="0" w:color="auto"/>
              <w:bottom w:val="single" w:sz="4" w:space="0" w:color="auto"/>
              <w:right w:val="single" w:sz="4" w:space="0" w:color="auto"/>
            </w:tcBorders>
            <w:hideMark/>
          </w:tcPr>
          <w:p w14:paraId="4219F22D" w14:textId="77777777" w:rsidR="00D250A0" w:rsidRDefault="00D250A0" w:rsidP="000F3D1D">
            <w:pPr>
              <w:rPr>
                <w:b/>
                <w:bCs/>
                <w:sz w:val="22"/>
                <w:szCs w:val="22"/>
              </w:rPr>
            </w:pPr>
            <w:r>
              <w:rPr>
                <w:rFonts w:cstheme="minorHAnsi"/>
                <w:sz w:val="22"/>
                <w:szCs w:val="22"/>
              </w:rPr>
              <w:t>Training</w:t>
            </w:r>
          </w:p>
        </w:tc>
        <w:tc>
          <w:tcPr>
            <w:tcW w:w="3438" w:type="dxa"/>
            <w:tcBorders>
              <w:top w:val="single" w:sz="4" w:space="0" w:color="auto"/>
              <w:left w:val="single" w:sz="4" w:space="0" w:color="auto"/>
              <w:bottom w:val="single" w:sz="4" w:space="0" w:color="auto"/>
              <w:right w:val="single" w:sz="4" w:space="0" w:color="auto"/>
            </w:tcBorders>
            <w:hideMark/>
          </w:tcPr>
          <w:p w14:paraId="786C822F" w14:textId="77777777" w:rsidR="00D250A0" w:rsidRDefault="00D250A0" w:rsidP="000F3D1D">
            <w:pPr>
              <w:jc w:val="center"/>
              <w:rPr>
                <w:b/>
                <w:bCs/>
                <w:sz w:val="22"/>
                <w:szCs w:val="22"/>
              </w:rPr>
            </w:pPr>
            <w:r>
              <w:rPr>
                <w:rFonts w:cstheme="minorHAnsi"/>
                <w:sz w:val="22"/>
                <w:szCs w:val="22"/>
              </w:rPr>
              <w:t>£275.00</w:t>
            </w:r>
          </w:p>
        </w:tc>
      </w:tr>
      <w:tr w:rsidR="00D250A0" w14:paraId="53DB9B89" w14:textId="77777777" w:rsidTr="000F3D1D">
        <w:tc>
          <w:tcPr>
            <w:tcW w:w="3078" w:type="dxa"/>
            <w:tcBorders>
              <w:top w:val="single" w:sz="4" w:space="0" w:color="auto"/>
              <w:left w:val="single" w:sz="4" w:space="0" w:color="auto"/>
              <w:bottom w:val="single" w:sz="4" w:space="0" w:color="auto"/>
              <w:right w:val="single" w:sz="4" w:space="0" w:color="auto"/>
            </w:tcBorders>
            <w:hideMark/>
          </w:tcPr>
          <w:p w14:paraId="10F434B7" w14:textId="77777777" w:rsidR="00D250A0" w:rsidRDefault="00D250A0" w:rsidP="000F3D1D">
            <w:pPr>
              <w:rPr>
                <w:b/>
                <w:bCs/>
                <w:sz w:val="22"/>
                <w:szCs w:val="22"/>
              </w:rPr>
            </w:pPr>
            <w:r>
              <w:rPr>
                <w:rFonts w:cstheme="minorHAnsi"/>
                <w:sz w:val="22"/>
                <w:szCs w:val="22"/>
              </w:rPr>
              <w:t>Website development</w:t>
            </w:r>
          </w:p>
        </w:tc>
        <w:tc>
          <w:tcPr>
            <w:tcW w:w="3438" w:type="dxa"/>
            <w:tcBorders>
              <w:top w:val="single" w:sz="4" w:space="0" w:color="auto"/>
              <w:left w:val="single" w:sz="4" w:space="0" w:color="auto"/>
              <w:bottom w:val="single" w:sz="4" w:space="0" w:color="auto"/>
              <w:right w:val="single" w:sz="4" w:space="0" w:color="auto"/>
            </w:tcBorders>
            <w:hideMark/>
          </w:tcPr>
          <w:p w14:paraId="0397065C" w14:textId="77777777" w:rsidR="00D250A0" w:rsidRDefault="00D250A0" w:rsidP="000F3D1D">
            <w:pPr>
              <w:jc w:val="center"/>
              <w:rPr>
                <w:b/>
                <w:bCs/>
                <w:sz w:val="22"/>
                <w:szCs w:val="22"/>
              </w:rPr>
            </w:pPr>
            <w:r>
              <w:rPr>
                <w:rFonts w:cstheme="minorHAnsi"/>
                <w:sz w:val="22"/>
                <w:szCs w:val="22"/>
              </w:rPr>
              <w:t>£4,066.74</w:t>
            </w:r>
          </w:p>
        </w:tc>
      </w:tr>
      <w:tr w:rsidR="00D250A0" w14:paraId="16710887" w14:textId="77777777" w:rsidTr="000F3D1D">
        <w:tc>
          <w:tcPr>
            <w:tcW w:w="3078" w:type="dxa"/>
            <w:tcBorders>
              <w:top w:val="single" w:sz="4" w:space="0" w:color="auto"/>
              <w:left w:val="single" w:sz="4" w:space="0" w:color="auto"/>
              <w:bottom w:val="single" w:sz="4" w:space="0" w:color="auto"/>
              <w:right w:val="single" w:sz="4" w:space="0" w:color="auto"/>
            </w:tcBorders>
            <w:hideMark/>
          </w:tcPr>
          <w:p w14:paraId="2AEAC5BD" w14:textId="77777777" w:rsidR="00D250A0" w:rsidRDefault="00D250A0" w:rsidP="000F3D1D">
            <w:pPr>
              <w:rPr>
                <w:sz w:val="22"/>
                <w:szCs w:val="22"/>
              </w:rPr>
            </w:pPr>
            <w:r>
              <w:rPr>
                <w:sz w:val="22"/>
                <w:szCs w:val="22"/>
              </w:rPr>
              <w:t>Catering Supplies</w:t>
            </w:r>
          </w:p>
        </w:tc>
        <w:tc>
          <w:tcPr>
            <w:tcW w:w="3438" w:type="dxa"/>
            <w:tcBorders>
              <w:top w:val="single" w:sz="4" w:space="0" w:color="auto"/>
              <w:left w:val="single" w:sz="4" w:space="0" w:color="auto"/>
              <w:bottom w:val="single" w:sz="4" w:space="0" w:color="auto"/>
              <w:right w:val="single" w:sz="4" w:space="0" w:color="auto"/>
            </w:tcBorders>
            <w:hideMark/>
          </w:tcPr>
          <w:p w14:paraId="0BB0BDE1" w14:textId="77777777" w:rsidR="00D250A0" w:rsidRDefault="00D250A0" w:rsidP="000F3D1D">
            <w:pPr>
              <w:jc w:val="center"/>
              <w:rPr>
                <w:b/>
                <w:bCs/>
                <w:sz w:val="22"/>
                <w:szCs w:val="22"/>
              </w:rPr>
            </w:pPr>
            <w:r>
              <w:rPr>
                <w:rFonts w:cstheme="minorHAnsi"/>
                <w:sz w:val="22"/>
                <w:szCs w:val="22"/>
              </w:rPr>
              <w:t>£35.75</w:t>
            </w:r>
          </w:p>
        </w:tc>
      </w:tr>
      <w:tr w:rsidR="00D250A0" w14:paraId="5901B90B" w14:textId="77777777" w:rsidTr="000F3D1D">
        <w:tc>
          <w:tcPr>
            <w:tcW w:w="3078" w:type="dxa"/>
            <w:tcBorders>
              <w:top w:val="single" w:sz="4" w:space="0" w:color="auto"/>
              <w:left w:val="single" w:sz="4" w:space="0" w:color="auto"/>
              <w:bottom w:val="single" w:sz="4" w:space="0" w:color="auto"/>
              <w:right w:val="single" w:sz="4" w:space="0" w:color="auto"/>
            </w:tcBorders>
            <w:hideMark/>
          </w:tcPr>
          <w:p w14:paraId="0960E7D5" w14:textId="77777777" w:rsidR="00D250A0" w:rsidRDefault="00D250A0" w:rsidP="000F3D1D">
            <w:pPr>
              <w:rPr>
                <w:b/>
                <w:bCs/>
                <w:sz w:val="22"/>
                <w:szCs w:val="22"/>
              </w:rPr>
            </w:pPr>
            <w:r>
              <w:rPr>
                <w:rFonts w:cstheme="minorHAnsi"/>
                <w:sz w:val="22"/>
                <w:szCs w:val="22"/>
              </w:rPr>
              <w:t xml:space="preserve">Subscription </w:t>
            </w:r>
          </w:p>
        </w:tc>
        <w:tc>
          <w:tcPr>
            <w:tcW w:w="3438" w:type="dxa"/>
            <w:tcBorders>
              <w:top w:val="single" w:sz="4" w:space="0" w:color="auto"/>
              <w:left w:val="single" w:sz="4" w:space="0" w:color="auto"/>
              <w:bottom w:val="single" w:sz="4" w:space="0" w:color="auto"/>
              <w:right w:val="single" w:sz="4" w:space="0" w:color="auto"/>
            </w:tcBorders>
            <w:hideMark/>
          </w:tcPr>
          <w:p w14:paraId="65AA801D" w14:textId="77777777" w:rsidR="00D250A0" w:rsidRDefault="00D250A0" w:rsidP="000F3D1D">
            <w:pPr>
              <w:jc w:val="center"/>
              <w:rPr>
                <w:b/>
                <w:bCs/>
                <w:sz w:val="22"/>
                <w:szCs w:val="22"/>
              </w:rPr>
            </w:pPr>
            <w:r>
              <w:rPr>
                <w:rFonts w:cstheme="minorHAnsi"/>
                <w:sz w:val="22"/>
                <w:szCs w:val="22"/>
              </w:rPr>
              <w:t>£815.00</w:t>
            </w:r>
          </w:p>
        </w:tc>
      </w:tr>
      <w:tr w:rsidR="00D250A0" w14:paraId="11389986" w14:textId="77777777" w:rsidTr="000F3D1D">
        <w:tc>
          <w:tcPr>
            <w:tcW w:w="3078" w:type="dxa"/>
            <w:tcBorders>
              <w:top w:val="single" w:sz="4" w:space="0" w:color="auto"/>
              <w:left w:val="single" w:sz="4" w:space="0" w:color="auto"/>
              <w:bottom w:val="single" w:sz="4" w:space="0" w:color="auto"/>
              <w:right w:val="single" w:sz="4" w:space="0" w:color="auto"/>
            </w:tcBorders>
            <w:hideMark/>
          </w:tcPr>
          <w:p w14:paraId="3224B30A" w14:textId="77777777" w:rsidR="00D250A0" w:rsidRDefault="00D250A0" w:rsidP="000F3D1D">
            <w:pPr>
              <w:rPr>
                <w:b/>
                <w:bCs/>
                <w:sz w:val="22"/>
                <w:szCs w:val="22"/>
              </w:rPr>
            </w:pPr>
            <w:r>
              <w:rPr>
                <w:rFonts w:cstheme="minorHAnsi"/>
                <w:sz w:val="22"/>
                <w:szCs w:val="22"/>
              </w:rPr>
              <w:t>CSPR’s costs</w:t>
            </w:r>
          </w:p>
        </w:tc>
        <w:tc>
          <w:tcPr>
            <w:tcW w:w="3438" w:type="dxa"/>
            <w:tcBorders>
              <w:top w:val="single" w:sz="4" w:space="0" w:color="auto"/>
              <w:left w:val="single" w:sz="4" w:space="0" w:color="auto"/>
              <w:bottom w:val="single" w:sz="4" w:space="0" w:color="auto"/>
              <w:right w:val="single" w:sz="4" w:space="0" w:color="auto"/>
            </w:tcBorders>
            <w:hideMark/>
          </w:tcPr>
          <w:p w14:paraId="44F54A85" w14:textId="77777777" w:rsidR="00D250A0" w:rsidRDefault="00D250A0" w:rsidP="000F3D1D">
            <w:pPr>
              <w:jc w:val="center"/>
              <w:rPr>
                <w:sz w:val="22"/>
                <w:szCs w:val="22"/>
              </w:rPr>
            </w:pPr>
            <w:r>
              <w:rPr>
                <w:sz w:val="22"/>
                <w:szCs w:val="22"/>
              </w:rPr>
              <w:t>£8,674.30</w:t>
            </w:r>
          </w:p>
        </w:tc>
      </w:tr>
      <w:tr w:rsidR="00D250A0" w14:paraId="3402415E" w14:textId="77777777" w:rsidTr="000F3D1D">
        <w:tc>
          <w:tcPr>
            <w:tcW w:w="3078" w:type="dxa"/>
            <w:tcBorders>
              <w:top w:val="single" w:sz="4" w:space="0" w:color="auto"/>
              <w:left w:val="single" w:sz="4" w:space="0" w:color="auto"/>
              <w:bottom w:val="single" w:sz="4" w:space="0" w:color="auto"/>
              <w:right w:val="single" w:sz="4" w:space="0" w:color="auto"/>
            </w:tcBorders>
            <w:hideMark/>
          </w:tcPr>
          <w:p w14:paraId="43666EEA" w14:textId="77777777" w:rsidR="00D250A0" w:rsidRDefault="00D250A0" w:rsidP="000F3D1D">
            <w:pPr>
              <w:rPr>
                <w:rFonts w:cstheme="minorHAnsi"/>
                <w:b/>
                <w:bCs/>
                <w:sz w:val="22"/>
                <w:szCs w:val="22"/>
              </w:rPr>
            </w:pPr>
            <w:r>
              <w:rPr>
                <w:rFonts w:cstheme="minorHAnsi"/>
                <w:sz w:val="22"/>
                <w:szCs w:val="22"/>
              </w:rPr>
              <w:t>Additional CDOP Costs</w:t>
            </w:r>
          </w:p>
        </w:tc>
        <w:tc>
          <w:tcPr>
            <w:tcW w:w="3438" w:type="dxa"/>
            <w:tcBorders>
              <w:top w:val="single" w:sz="4" w:space="0" w:color="auto"/>
              <w:left w:val="single" w:sz="4" w:space="0" w:color="auto"/>
              <w:bottom w:val="single" w:sz="4" w:space="0" w:color="auto"/>
              <w:right w:val="single" w:sz="4" w:space="0" w:color="auto"/>
            </w:tcBorders>
            <w:hideMark/>
          </w:tcPr>
          <w:p w14:paraId="4BB9DA8D" w14:textId="77777777" w:rsidR="00D250A0" w:rsidRPr="00A0281E" w:rsidRDefault="00D250A0" w:rsidP="000F3D1D">
            <w:pPr>
              <w:jc w:val="center"/>
              <w:rPr>
                <w:rFonts w:cstheme="minorHAnsi"/>
                <w:sz w:val="22"/>
                <w:szCs w:val="22"/>
              </w:rPr>
            </w:pPr>
            <w:r>
              <w:rPr>
                <w:rFonts w:cstheme="minorHAnsi"/>
                <w:sz w:val="22"/>
                <w:szCs w:val="22"/>
              </w:rPr>
              <w:t>£6,712.12</w:t>
            </w:r>
          </w:p>
        </w:tc>
      </w:tr>
      <w:tr w:rsidR="00D250A0" w14:paraId="6F6583DC" w14:textId="77777777" w:rsidTr="000F3D1D">
        <w:tc>
          <w:tcPr>
            <w:tcW w:w="3078" w:type="dxa"/>
            <w:tcBorders>
              <w:top w:val="single" w:sz="4" w:space="0" w:color="auto"/>
              <w:left w:val="single" w:sz="4" w:space="0" w:color="auto"/>
              <w:bottom w:val="single" w:sz="4" w:space="0" w:color="auto"/>
              <w:right w:val="single" w:sz="4" w:space="0" w:color="auto"/>
            </w:tcBorders>
            <w:hideMark/>
          </w:tcPr>
          <w:p w14:paraId="55928D70" w14:textId="77777777" w:rsidR="00D250A0" w:rsidRDefault="00D250A0" w:rsidP="000F3D1D">
            <w:pPr>
              <w:jc w:val="center"/>
              <w:rPr>
                <w:rFonts w:cstheme="minorHAnsi"/>
                <w:b/>
                <w:bCs/>
                <w:sz w:val="22"/>
                <w:szCs w:val="22"/>
              </w:rPr>
            </w:pPr>
            <w:r>
              <w:rPr>
                <w:rFonts w:cstheme="minorHAnsi"/>
                <w:b/>
                <w:bCs/>
                <w:sz w:val="22"/>
                <w:szCs w:val="22"/>
              </w:rPr>
              <w:t>Total Spend</w:t>
            </w:r>
          </w:p>
        </w:tc>
        <w:tc>
          <w:tcPr>
            <w:tcW w:w="3438" w:type="dxa"/>
            <w:tcBorders>
              <w:top w:val="single" w:sz="4" w:space="0" w:color="auto"/>
              <w:left w:val="single" w:sz="4" w:space="0" w:color="auto"/>
              <w:bottom w:val="single" w:sz="4" w:space="0" w:color="auto"/>
              <w:right w:val="single" w:sz="4" w:space="0" w:color="auto"/>
            </w:tcBorders>
            <w:hideMark/>
          </w:tcPr>
          <w:p w14:paraId="7248D6CE" w14:textId="77777777" w:rsidR="00D250A0" w:rsidRDefault="00D250A0" w:rsidP="000F3D1D">
            <w:pPr>
              <w:jc w:val="center"/>
              <w:rPr>
                <w:rFonts w:cstheme="minorHAnsi"/>
                <w:b/>
                <w:bCs/>
                <w:sz w:val="22"/>
                <w:szCs w:val="22"/>
              </w:rPr>
            </w:pPr>
            <w:r>
              <w:rPr>
                <w:rFonts w:cstheme="minorHAnsi"/>
                <w:b/>
                <w:bCs/>
                <w:sz w:val="22"/>
                <w:szCs w:val="22"/>
              </w:rPr>
              <w:t>£175,750.18</w:t>
            </w:r>
          </w:p>
        </w:tc>
      </w:tr>
    </w:tbl>
    <w:p w14:paraId="248085D6" w14:textId="77777777" w:rsidR="00D250A0" w:rsidRDefault="00D250A0" w:rsidP="00D250A0">
      <w:pPr>
        <w:spacing w:after="0" w:line="240" w:lineRule="auto"/>
        <w:rPr>
          <w:b/>
          <w:bCs/>
        </w:rPr>
      </w:pPr>
    </w:p>
    <w:p w14:paraId="719B2068" w14:textId="77777777" w:rsidR="00D250A0" w:rsidRDefault="00D250A0" w:rsidP="00D250A0">
      <w:pPr>
        <w:spacing w:after="0" w:line="240" w:lineRule="auto"/>
      </w:pPr>
      <w:r w:rsidRPr="00034651">
        <w:t>£30,000 is also spent by the CBSCP on multi-agency training.</w:t>
      </w:r>
    </w:p>
    <w:p w14:paraId="6737226D" w14:textId="77777777" w:rsidR="00D250A0" w:rsidRDefault="00D250A0" w:rsidP="00D250A0">
      <w:pPr>
        <w:spacing w:after="0" w:line="240" w:lineRule="auto"/>
      </w:pPr>
    </w:p>
    <w:p w14:paraId="4930981F" w14:textId="77777777" w:rsidR="00D250A0" w:rsidRPr="00034651" w:rsidRDefault="00D250A0" w:rsidP="00D250A0">
      <w:pPr>
        <w:spacing w:after="0" w:line="240" w:lineRule="auto"/>
      </w:pPr>
      <w:r>
        <w:t xml:space="preserve">A </w:t>
      </w:r>
      <w:r w:rsidRPr="00A0281E">
        <w:t>further £7,000 is provided by CBC</w:t>
      </w:r>
      <w:r>
        <w:t xml:space="preserve"> towards the contribution costs of </w:t>
      </w:r>
      <w:r w:rsidRPr="00A0281E">
        <w:t>CDOP</w:t>
      </w:r>
      <w:r>
        <w:t>.</w:t>
      </w:r>
    </w:p>
    <w:p w14:paraId="6848C602" w14:textId="77777777" w:rsidR="00D250A0" w:rsidRDefault="00D250A0" w:rsidP="00D250A0">
      <w:pPr>
        <w:spacing w:after="0" w:line="240" w:lineRule="auto"/>
        <w:rPr>
          <w:b/>
          <w:bCs/>
        </w:rPr>
      </w:pPr>
    </w:p>
    <w:p w14:paraId="4AE13862" w14:textId="77777777" w:rsidR="00D250A0" w:rsidRDefault="00D250A0" w:rsidP="00D250A0">
      <w:pPr>
        <w:spacing w:after="0" w:line="240" w:lineRule="auto"/>
        <w:rPr>
          <w:b/>
          <w:bCs/>
        </w:rPr>
      </w:pPr>
      <w:r>
        <w:rPr>
          <w:b/>
          <w:bCs/>
        </w:rPr>
        <w:t>Summary and Areas for Development/Next year’s focus:</w:t>
      </w:r>
    </w:p>
    <w:p w14:paraId="3D3CD288" w14:textId="77777777" w:rsidR="00D250A0" w:rsidRDefault="00D250A0" w:rsidP="00D250A0">
      <w:pPr>
        <w:spacing w:after="0" w:line="240" w:lineRule="auto"/>
      </w:pPr>
      <w:r>
        <w:t xml:space="preserve">The CBSCP has worked well throughout 2024/25 and has a strong cohesive partnership, where partners come together and progress partnership work well, but are also able to debate and challenge each other in a positive way when needed. </w:t>
      </w:r>
    </w:p>
    <w:p w14:paraId="61657775" w14:textId="77777777" w:rsidR="00D250A0" w:rsidRDefault="00D250A0" w:rsidP="00D250A0">
      <w:pPr>
        <w:spacing w:after="0" w:line="240" w:lineRule="auto"/>
      </w:pPr>
    </w:p>
    <w:p w14:paraId="0CA4AB5C" w14:textId="77777777" w:rsidR="00D250A0" w:rsidRDefault="00D250A0" w:rsidP="00D250A0">
      <w:pPr>
        <w:spacing w:after="0" w:line="240" w:lineRule="auto"/>
      </w:pPr>
      <w:r>
        <w:t>In particular throughout the year the Partnership has carried out a large amount of quality assurance and audit work along with several case reviews and Rapid Reviews with all recommendations being acted upon. The partnership has worked hard in the areas of neglect to raise awareness of neglect and increase the use of tools such as the graded care profile and the day in the life tools, however work by partners to really embed the use of these are still needed. The Partnership has a strong multi-agency training offer and development of learning webinars following our case reviews has been a very positive addition this year. Our voice of the child work continues to grow each year, and we are keen to further strengthen this year on year.</w:t>
      </w:r>
    </w:p>
    <w:p w14:paraId="244E9275" w14:textId="77777777" w:rsidR="00D250A0" w:rsidRDefault="00D250A0" w:rsidP="00D250A0">
      <w:pPr>
        <w:spacing w:after="0" w:line="240" w:lineRule="auto"/>
      </w:pPr>
    </w:p>
    <w:p w14:paraId="75556885" w14:textId="77777777" w:rsidR="00D250A0" w:rsidRDefault="00D250A0" w:rsidP="00D250A0">
      <w:pPr>
        <w:spacing w:after="0" w:line="240" w:lineRule="auto"/>
      </w:pPr>
      <w:r>
        <w:t>The Partnerships work around Child Sexual Abuse is an area which has begun to be developed during 2024/25 and will be a key area to continue to progress over the next year. Our Partnership work around exploitation is an area which has been identified as a key area for us to continue developing and strengthening throughout the new year ahead.</w:t>
      </w:r>
    </w:p>
    <w:p w14:paraId="6897A43C" w14:textId="77777777" w:rsidR="00D250A0" w:rsidRDefault="00D250A0" w:rsidP="00D250A0">
      <w:pPr>
        <w:spacing w:after="0" w:line="240" w:lineRule="auto"/>
      </w:pPr>
    </w:p>
    <w:p w14:paraId="1C847D9F" w14:textId="77777777" w:rsidR="00D250A0" w:rsidRDefault="00D250A0" w:rsidP="00D250A0">
      <w:pPr>
        <w:spacing w:after="0" w:line="240" w:lineRule="auto"/>
      </w:pPr>
      <w:r>
        <w:t>Moving forward throughout the next year the Partnership is also keen to consider ways in which we can offer partnership development opportunities and also really develop the ways in which we measure the success and impact of the work we do, to ensure the work of the Partnership is making a difference to the children and young people within Central Bedfordshire.</w:t>
      </w:r>
    </w:p>
    <w:p w14:paraId="21D3FEDA" w14:textId="77777777" w:rsidR="00D250A0" w:rsidRDefault="00D250A0" w:rsidP="00D250A0">
      <w:pPr>
        <w:spacing w:after="0" w:line="240" w:lineRule="auto"/>
      </w:pPr>
    </w:p>
    <w:p w14:paraId="5CE4AC9D" w14:textId="77777777" w:rsidR="00D250A0" w:rsidRDefault="00D250A0" w:rsidP="00D250A0">
      <w:pPr>
        <w:spacing w:after="0" w:line="240" w:lineRule="auto"/>
        <w:rPr>
          <w:b/>
          <w:bCs/>
        </w:rPr>
      </w:pPr>
      <w:r w:rsidRPr="006A71C4">
        <w:rPr>
          <w:b/>
          <w:bCs/>
        </w:rPr>
        <w:t>Priorities for 2025/26:</w:t>
      </w:r>
    </w:p>
    <w:p w14:paraId="4BBEDE73" w14:textId="77777777" w:rsidR="00D250A0" w:rsidRDefault="00D250A0" w:rsidP="00D250A0">
      <w:pPr>
        <w:pStyle w:val="m-1369909003050855453m4195190892869225656msolistparagraph"/>
        <w:numPr>
          <w:ilvl w:val="0"/>
          <w:numId w:val="34"/>
        </w:numPr>
        <w:rPr>
          <w:rFonts w:eastAsia="Times New Roman"/>
        </w:rPr>
      </w:pPr>
      <w:r>
        <w:rPr>
          <w:rFonts w:eastAsia="Times New Roman"/>
        </w:rPr>
        <w:lastRenderedPageBreak/>
        <w:t xml:space="preserve">Neglect </w:t>
      </w:r>
    </w:p>
    <w:p w14:paraId="7468AC54" w14:textId="77777777" w:rsidR="00D250A0" w:rsidRDefault="00D250A0" w:rsidP="00D250A0">
      <w:pPr>
        <w:pStyle w:val="m-1369909003050855453m4195190892869225656msolistparagraph"/>
        <w:numPr>
          <w:ilvl w:val="0"/>
          <w:numId w:val="34"/>
        </w:numPr>
        <w:rPr>
          <w:rFonts w:eastAsia="Times New Roman"/>
        </w:rPr>
      </w:pPr>
      <w:r>
        <w:rPr>
          <w:rFonts w:eastAsia="Times New Roman"/>
        </w:rPr>
        <w:t>Child Sexual Abuse</w:t>
      </w:r>
    </w:p>
    <w:p w14:paraId="6EA80873" w14:textId="77777777" w:rsidR="00D250A0" w:rsidRDefault="00D250A0" w:rsidP="00D250A0">
      <w:pPr>
        <w:pStyle w:val="m-1369909003050855453m4195190892869225656msolistparagraph"/>
        <w:numPr>
          <w:ilvl w:val="0"/>
          <w:numId w:val="34"/>
        </w:numPr>
        <w:rPr>
          <w:rFonts w:eastAsia="Times New Roman"/>
        </w:rPr>
      </w:pPr>
      <w:r>
        <w:rPr>
          <w:rFonts w:eastAsia="Times New Roman"/>
        </w:rPr>
        <w:t xml:space="preserve">Exploitation </w:t>
      </w:r>
    </w:p>
    <w:p w14:paraId="3F592062" w14:textId="77777777" w:rsidR="00D250A0" w:rsidRDefault="00D250A0" w:rsidP="00D250A0">
      <w:pPr>
        <w:pStyle w:val="m-1369909003050855453m4195190892869225656msolistparagraph"/>
        <w:numPr>
          <w:ilvl w:val="0"/>
          <w:numId w:val="34"/>
        </w:numPr>
        <w:rPr>
          <w:rFonts w:eastAsia="Times New Roman"/>
        </w:rPr>
      </w:pPr>
      <w:r>
        <w:rPr>
          <w:rFonts w:eastAsia="Times New Roman"/>
        </w:rPr>
        <w:t>Under 5’s and Non-Accidental Injuries</w:t>
      </w:r>
    </w:p>
    <w:p w14:paraId="593C2C23" w14:textId="77777777" w:rsidR="00D250A0" w:rsidRDefault="00D250A0" w:rsidP="00D250A0">
      <w:pPr>
        <w:pStyle w:val="m-1369909003050855453m4195190892869225656msolistparagraph"/>
        <w:numPr>
          <w:ilvl w:val="0"/>
          <w:numId w:val="34"/>
        </w:numPr>
        <w:rPr>
          <w:rFonts w:eastAsia="Times New Roman"/>
        </w:rPr>
      </w:pPr>
      <w:r>
        <w:rPr>
          <w:rFonts w:eastAsia="Times New Roman"/>
        </w:rPr>
        <w:t>Voice of the Child</w:t>
      </w:r>
    </w:p>
    <w:p w14:paraId="74762110" w14:textId="77777777" w:rsidR="00D250A0" w:rsidRDefault="00D250A0" w:rsidP="00D250A0">
      <w:pPr>
        <w:spacing w:before="100" w:beforeAutospacing="1" w:after="100" w:afterAutospacing="1"/>
      </w:pPr>
      <w:r>
        <w:t> Other key areas for partnership focus:</w:t>
      </w:r>
    </w:p>
    <w:p w14:paraId="72DF67A8" w14:textId="77777777" w:rsidR="00D250A0" w:rsidRDefault="00D250A0" w:rsidP="00D250A0">
      <w:pPr>
        <w:pStyle w:val="m-1369909003050855453m4195190892869225656msolistparagraph"/>
        <w:numPr>
          <w:ilvl w:val="0"/>
          <w:numId w:val="35"/>
        </w:numPr>
        <w:rPr>
          <w:rFonts w:eastAsia="Times New Roman"/>
        </w:rPr>
      </w:pPr>
      <w:r>
        <w:rPr>
          <w:rFonts w:eastAsia="Times New Roman"/>
        </w:rPr>
        <w:t>Embedding learning</w:t>
      </w:r>
    </w:p>
    <w:p w14:paraId="7F989A2E" w14:textId="77777777" w:rsidR="00D250A0" w:rsidRDefault="00D250A0" w:rsidP="00D250A0">
      <w:pPr>
        <w:pStyle w:val="m-1369909003050855453m4195190892869225656msolistparagraph"/>
        <w:numPr>
          <w:ilvl w:val="0"/>
          <w:numId w:val="35"/>
        </w:numPr>
        <w:rPr>
          <w:rFonts w:eastAsia="Times New Roman"/>
        </w:rPr>
      </w:pPr>
      <w:r>
        <w:rPr>
          <w:rFonts w:eastAsia="Times New Roman"/>
        </w:rPr>
        <w:t xml:space="preserve">Partnership Development Opportunities </w:t>
      </w:r>
    </w:p>
    <w:p w14:paraId="1C5FC42F" w14:textId="77777777" w:rsidR="00D250A0" w:rsidRDefault="00D250A0" w:rsidP="00D250A0">
      <w:pPr>
        <w:pStyle w:val="m-1369909003050855453m4195190892869225656msolistparagraph"/>
        <w:numPr>
          <w:ilvl w:val="0"/>
          <w:numId w:val="35"/>
        </w:numPr>
        <w:rPr>
          <w:rFonts w:eastAsia="Times New Roman"/>
        </w:rPr>
      </w:pPr>
      <w:r>
        <w:rPr>
          <w:rFonts w:eastAsia="Times New Roman"/>
        </w:rPr>
        <w:t xml:space="preserve">Strengthening how we measure impact – ensure our work from Case Reviews have had an impact </w:t>
      </w:r>
    </w:p>
    <w:p w14:paraId="20F60117" w14:textId="77777777" w:rsidR="00D250A0" w:rsidRPr="008D1BD2" w:rsidRDefault="00D250A0" w:rsidP="00D757CF">
      <w:pPr>
        <w:pStyle w:val="m-1369909003050855453m4195190892869225656msolistparagraph"/>
        <w:numPr>
          <w:ilvl w:val="0"/>
          <w:numId w:val="35"/>
        </w:numPr>
        <w:spacing w:after="0"/>
        <w:rPr>
          <w:rFonts w:eastAsia="Times New Roman"/>
        </w:rPr>
      </w:pPr>
      <w:r w:rsidRPr="00D250A0">
        <w:rPr>
          <w:rFonts w:eastAsia="Times New Roman"/>
        </w:rPr>
        <w:t>Developing stronger links with SEND</w:t>
      </w:r>
    </w:p>
    <w:sectPr w:rsidR="00D250A0" w:rsidRPr="008D1BD2" w:rsidSect="00D250A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C4D3" w14:textId="77777777" w:rsidR="006E5C0C" w:rsidRDefault="006E5C0C" w:rsidP="003642A1">
      <w:pPr>
        <w:spacing w:after="0" w:line="240" w:lineRule="auto"/>
      </w:pPr>
      <w:r>
        <w:separator/>
      </w:r>
    </w:p>
  </w:endnote>
  <w:endnote w:type="continuationSeparator" w:id="0">
    <w:p w14:paraId="1D9019AA" w14:textId="77777777" w:rsidR="006E5C0C" w:rsidRDefault="006E5C0C" w:rsidP="00364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Trebuchet MS">
    <w:panose1 w:val="020B0603020202020204"/>
    <w:charset w:val="00"/>
    <w:family w:val="swiss"/>
    <w:pitch w:val="variable"/>
    <w:sig w:usb0="00000687" w:usb1="00000000" w:usb2="00000000" w:usb3="00000000" w:csb0="0000009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715114"/>
      <w:docPartObj>
        <w:docPartGallery w:val="Page Numbers (Bottom of Page)"/>
        <w:docPartUnique/>
      </w:docPartObj>
    </w:sdtPr>
    <w:sdtContent>
      <w:p w14:paraId="29FF21B6" w14:textId="200BCFE5" w:rsidR="003642A1" w:rsidRDefault="003642A1">
        <w:pPr>
          <w:pStyle w:val="Footer"/>
          <w:jc w:val="right"/>
        </w:pPr>
        <w:r>
          <w:fldChar w:fldCharType="begin"/>
        </w:r>
        <w:r>
          <w:instrText>PAGE   \* MERGEFORMAT</w:instrText>
        </w:r>
        <w:r>
          <w:fldChar w:fldCharType="separate"/>
        </w:r>
        <w:r>
          <w:t>2</w:t>
        </w:r>
        <w:r>
          <w:fldChar w:fldCharType="end"/>
        </w:r>
      </w:p>
    </w:sdtContent>
  </w:sdt>
  <w:p w14:paraId="24B5E830" w14:textId="77777777" w:rsidR="003642A1" w:rsidRDefault="00364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A643" w14:textId="77777777" w:rsidR="006E5C0C" w:rsidRDefault="006E5C0C" w:rsidP="003642A1">
      <w:pPr>
        <w:spacing w:after="0" w:line="240" w:lineRule="auto"/>
      </w:pPr>
      <w:r>
        <w:separator/>
      </w:r>
    </w:p>
  </w:footnote>
  <w:footnote w:type="continuationSeparator" w:id="0">
    <w:p w14:paraId="7E3A8405" w14:textId="77777777" w:rsidR="006E5C0C" w:rsidRDefault="006E5C0C" w:rsidP="00364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07"/>
    <w:multiLevelType w:val="hybridMultilevel"/>
    <w:tmpl w:val="028291C2"/>
    <w:lvl w:ilvl="0" w:tplc="3A86B3A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0D2038"/>
    <w:multiLevelType w:val="hybridMultilevel"/>
    <w:tmpl w:val="7698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154AE"/>
    <w:multiLevelType w:val="hybridMultilevel"/>
    <w:tmpl w:val="E996C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BD59D9"/>
    <w:multiLevelType w:val="hybridMultilevel"/>
    <w:tmpl w:val="7916AB78"/>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307AA5"/>
    <w:multiLevelType w:val="multilevel"/>
    <w:tmpl w:val="52A05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714BF"/>
    <w:multiLevelType w:val="hybridMultilevel"/>
    <w:tmpl w:val="18E42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CF49B5"/>
    <w:multiLevelType w:val="hybridMultilevel"/>
    <w:tmpl w:val="F7D2B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F4687"/>
    <w:multiLevelType w:val="hybridMultilevel"/>
    <w:tmpl w:val="9A6EE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3549E"/>
    <w:multiLevelType w:val="hybridMultilevel"/>
    <w:tmpl w:val="EB50EBF4"/>
    <w:lvl w:ilvl="0" w:tplc="6E1CB444">
      <w:start w:val="1"/>
      <w:numFmt w:val="bullet"/>
      <w:lvlText w:val="•"/>
      <w:lvlJc w:val="left"/>
      <w:pPr>
        <w:tabs>
          <w:tab w:val="num" w:pos="720"/>
        </w:tabs>
        <w:ind w:left="720" w:hanging="360"/>
      </w:pPr>
      <w:rPr>
        <w:rFonts w:ascii="Arial" w:hAnsi="Arial" w:hint="default"/>
      </w:rPr>
    </w:lvl>
    <w:lvl w:ilvl="1" w:tplc="2D50A844" w:tentative="1">
      <w:start w:val="1"/>
      <w:numFmt w:val="bullet"/>
      <w:lvlText w:val="•"/>
      <w:lvlJc w:val="left"/>
      <w:pPr>
        <w:tabs>
          <w:tab w:val="num" w:pos="1440"/>
        </w:tabs>
        <w:ind w:left="1440" w:hanging="360"/>
      </w:pPr>
      <w:rPr>
        <w:rFonts w:ascii="Arial" w:hAnsi="Arial" w:hint="default"/>
      </w:rPr>
    </w:lvl>
    <w:lvl w:ilvl="2" w:tplc="E43A2024" w:tentative="1">
      <w:start w:val="1"/>
      <w:numFmt w:val="bullet"/>
      <w:lvlText w:val="•"/>
      <w:lvlJc w:val="left"/>
      <w:pPr>
        <w:tabs>
          <w:tab w:val="num" w:pos="2160"/>
        </w:tabs>
        <w:ind w:left="2160" w:hanging="360"/>
      </w:pPr>
      <w:rPr>
        <w:rFonts w:ascii="Arial" w:hAnsi="Arial" w:hint="default"/>
      </w:rPr>
    </w:lvl>
    <w:lvl w:ilvl="3" w:tplc="886CFC48" w:tentative="1">
      <w:start w:val="1"/>
      <w:numFmt w:val="bullet"/>
      <w:lvlText w:val="•"/>
      <w:lvlJc w:val="left"/>
      <w:pPr>
        <w:tabs>
          <w:tab w:val="num" w:pos="2880"/>
        </w:tabs>
        <w:ind w:left="2880" w:hanging="360"/>
      </w:pPr>
      <w:rPr>
        <w:rFonts w:ascii="Arial" w:hAnsi="Arial" w:hint="default"/>
      </w:rPr>
    </w:lvl>
    <w:lvl w:ilvl="4" w:tplc="0A26CEF2" w:tentative="1">
      <w:start w:val="1"/>
      <w:numFmt w:val="bullet"/>
      <w:lvlText w:val="•"/>
      <w:lvlJc w:val="left"/>
      <w:pPr>
        <w:tabs>
          <w:tab w:val="num" w:pos="3600"/>
        </w:tabs>
        <w:ind w:left="3600" w:hanging="360"/>
      </w:pPr>
      <w:rPr>
        <w:rFonts w:ascii="Arial" w:hAnsi="Arial" w:hint="default"/>
      </w:rPr>
    </w:lvl>
    <w:lvl w:ilvl="5" w:tplc="A60CB4B6" w:tentative="1">
      <w:start w:val="1"/>
      <w:numFmt w:val="bullet"/>
      <w:lvlText w:val="•"/>
      <w:lvlJc w:val="left"/>
      <w:pPr>
        <w:tabs>
          <w:tab w:val="num" w:pos="4320"/>
        </w:tabs>
        <w:ind w:left="4320" w:hanging="360"/>
      </w:pPr>
      <w:rPr>
        <w:rFonts w:ascii="Arial" w:hAnsi="Arial" w:hint="default"/>
      </w:rPr>
    </w:lvl>
    <w:lvl w:ilvl="6" w:tplc="58D43A4A" w:tentative="1">
      <w:start w:val="1"/>
      <w:numFmt w:val="bullet"/>
      <w:lvlText w:val="•"/>
      <w:lvlJc w:val="left"/>
      <w:pPr>
        <w:tabs>
          <w:tab w:val="num" w:pos="5040"/>
        </w:tabs>
        <w:ind w:left="5040" w:hanging="360"/>
      </w:pPr>
      <w:rPr>
        <w:rFonts w:ascii="Arial" w:hAnsi="Arial" w:hint="default"/>
      </w:rPr>
    </w:lvl>
    <w:lvl w:ilvl="7" w:tplc="964C7B88" w:tentative="1">
      <w:start w:val="1"/>
      <w:numFmt w:val="bullet"/>
      <w:lvlText w:val="•"/>
      <w:lvlJc w:val="left"/>
      <w:pPr>
        <w:tabs>
          <w:tab w:val="num" w:pos="5760"/>
        </w:tabs>
        <w:ind w:left="5760" w:hanging="360"/>
      </w:pPr>
      <w:rPr>
        <w:rFonts w:ascii="Arial" w:hAnsi="Arial" w:hint="default"/>
      </w:rPr>
    </w:lvl>
    <w:lvl w:ilvl="8" w:tplc="7BDC1FC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C60896"/>
    <w:multiLevelType w:val="hybridMultilevel"/>
    <w:tmpl w:val="6654285C"/>
    <w:lvl w:ilvl="0" w:tplc="08090001">
      <w:start w:val="1"/>
      <w:numFmt w:val="bullet"/>
      <w:lvlText w:val=""/>
      <w:lvlJc w:val="left"/>
      <w:pPr>
        <w:ind w:left="720" w:hanging="360"/>
      </w:pPr>
      <w:rPr>
        <w:rFonts w:ascii="Symbol" w:hAnsi="Symbol" w:hint="default"/>
      </w:rPr>
    </w:lvl>
    <w:lvl w:ilvl="1" w:tplc="DED6759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DA7B2A"/>
    <w:multiLevelType w:val="hybridMultilevel"/>
    <w:tmpl w:val="A086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727E9"/>
    <w:multiLevelType w:val="hybridMultilevel"/>
    <w:tmpl w:val="9A02D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F0848"/>
    <w:multiLevelType w:val="hybridMultilevel"/>
    <w:tmpl w:val="BA061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124C34"/>
    <w:multiLevelType w:val="hybridMultilevel"/>
    <w:tmpl w:val="A9FEE2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B2B6739"/>
    <w:multiLevelType w:val="hybridMultilevel"/>
    <w:tmpl w:val="3D4031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9C4E77"/>
    <w:multiLevelType w:val="hybridMultilevel"/>
    <w:tmpl w:val="CB6A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29716A"/>
    <w:multiLevelType w:val="hybridMultilevel"/>
    <w:tmpl w:val="72B0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5348FF"/>
    <w:multiLevelType w:val="multilevel"/>
    <w:tmpl w:val="EC701068"/>
    <w:lvl w:ilvl="0">
      <w:start w:val="1"/>
      <w:numFmt w:val="bullet"/>
      <w:lvlText w:val=""/>
      <w:lvlJc w:val="left"/>
      <w:pPr>
        <w:tabs>
          <w:tab w:val="num" w:pos="360"/>
        </w:tabs>
        <w:ind w:left="360" w:hanging="360"/>
      </w:pPr>
      <w:rPr>
        <w:rFonts w:ascii="Symbol" w:hAnsi="Symbol" w:hint="default"/>
      </w:rPr>
    </w:lvl>
    <w:lvl w:ilvl="1">
      <w:start w:val="7"/>
      <w:numFmt w:val="bullet"/>
      <w:lvlText w:val="-"/>
      <w:lvlJc w:val="left"/>
      <w:pPr>
        <w:ind w:left="1080" w:hanging="360"/>
      </w:pPr>
      <w:rPr>
        <w:rFonts w:ascii="Calibri" w:eastAsia="Times New Roman" w:hAnsi="Calibri" w:cs="Calibri"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15C0476"/>
    <w:multiLevelType w:val="hybridMultilevel"/>
    <w:tmpl w:val="1D244F30"/>
    <w:lvl w:ilvl="0" w:tplc="675A78F8">
      <w:start w:val="1"/>
      <w:numFmt w:val="bullet"/>
      <w:lvlText w:val="•"/>
      <w:lvlJc w:val="left"/>
      <w:pPr>
        <w:tabs>
          <w:tab w:val="num" w:pos="720"/>
        </w:tabs>
        <w:ind w:left="720" w:hanging="360"/>
      </w:pPr>
      <w:rPr>
        <w:rFonts w:ascii="Arial" w:hAnsi="Arial" w:hint="default"/>
      </w:rPr>
    </w:lvl>
    <w:lvl w:ilvl="1" w:tplc="2558FC08" w:tentative="1">
      <w:start w:val="1"/>
      <w:numFmt w:val="bullet"/>
      <w:lvlText w:val="•"/>
      <w:lvlJc w:val="left"/>
      <w:pPr>
        <w:tabs>
          <w:tab w:val="num" w:pos="1440"/>
        </w:tabs>
        <w:ind w:left="1440" w:hanging="360"/>
      </w:pPr>
      <w:rPr>
        <w:rFonts w:ascii="Arial" w:hAnsi="Arial" w:hint="default"/>
      </w:rPr>
    </w:lvl>
    <w:lvl w:ilvl="2" w:tplc="4BA6A094" w:tentative="1">
      <w:start w:val="1"/>
      <w:numFmt w:val="bullet"/>
      <w:lvlText w:val="•"/>
      <w:lvlJc w:val="left"/>
      <w:pPr>
        <w:tabs>
          <w:tab w:val="num" w:pos="2160"/>
        </w:tabs>
        <w:ind w:left="2160" w:hanging="360"/>
      </w:pPr>
      <w:rPr>
        <w:rFonts w:ascii="Arial" w:hAnsi="Arial" w:hint="default"/>
      </w:rPr>
    </w:lvl>
    <w:lvl w:ilvl="3" w:tplc="E4787212" w:tentative="1">
      <w:start w:val="1"/>
      <w:numFmt w:val="bullet"/>
      <w:lvlText w:val="•"/>
      <w:lvlJc w:val="left"/>
      <w:pPr>
        <w:tabs>
          <w:tab w:val="num" w:pos="2880"/>
        </w:tabs>
        <w:ind w:left="2880" w:hanging="360"/>
      </w:pPr>
      <w:rPr>
        <w:rFonts w:ascii="Arial" w:hAnsi="Arial" w:hint="default"/>
      </w:rPr>
    </w:lvl>
    <w:lvl w:ilvl="4" w:tplc="BB902C2A" w:tentative="1">
      <w:start w:val="1"/>
      <w:numFmt w:val="bullet"/>
      <w:lvlText w:val="•"/>
      <w:lvlJc w:val="left"/>
      <w:pPr>
        <w:tabs>
          <w:tab w:val="num" w:pos="3600"/>
        </w:tabs>
        <w:ind w:left="3600" w:hanging="360"/>
      </w:pPr>
      <w:rPr>
        <w:rFonts w:ascii="Arial" w:hAnsi="Arial" w:hint="default"/>
      </w:rPr>
    </w:lvl>
    <w:lvl w:ilvl="5" w:tplc="B052DCFE" w:tentative="1">
      <w:start w:val="1"/>
      <w:numFmt w:val="bullet"/>
      <w:lvlText w:val="•"/>
      <w:lvlJc w:val="left"/>
      <w:pPr>
        <w:tabs>
          <w:tab w:val="num" w:pos="4320"/>
        </w:tabs>
        <w:ind w:left="4320" w:hanging="360"/>
      </w:pPr>
      <w:rPr>
        <w:rFonts w:ascii="Arial" w:hAnsi="Arial" w:hint="default"/>
      </w:rPr>
    </w:lvl>
    <w:lvl w:ilvl="6" w:tplc="7E68B874" w:tentative="1">
      <w:start w:val="1"/>
      <w:numFmt w:val="bullet"/>
      <w:lvlText w:val="•"/>
      <w:lvlJc w:val="left"/>
      <w:pPr>
        <w:tabs>
          <w:tab w:val="num" w:pos="5040"/>
        </w:tabs>
        <w:ind w:left="5040" w:hanging="360"/>
      </w:pPr>
      <w:rPr>
        <w:rFonts w:ascii="Arial" w:hAnsi="Arial" w:hint="default"/>
      </w:rPr>
    </w:lvl>
    <w:lvl w:ilvl="7" w:tplc="EBACC2F0" w:tentative="1">
      <w:start w:val="1"/>
      <w:numFmt w:val="bullet"/>
      <w:lvlText w:val="•"/>
      <w:lvlJc w:val="left"/>
      <w:pPr>
        <w:tabs>
          <w:tab w:val="num" w:pos="5760"/>
        </w:tabs>
        <w:ind w:left="5760" w:hanging="360"/>
      </w:pPr>
      <w:rPr>
        <w:rFonts w:ascii="Arial" w:hAnsi="Arial" w:hint="default"/>
      </w:rPr>
    </w:lvl>
    <w:lvl w:ilvl="8" w:tplc="26DAFFF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6247809"/>
    <w:multiLevelType w:val="hybridMultilevel"/>
    <w:tmpl w:val="6BEE0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64723A"/>
    <w:multiLevelType w:val="hybridMultilevel"/>
    <w:tmpl w:val="ED56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AF72DE"/>
    <w:multiLevelType w:val="hybridMultilevel"/>
    <w:tmpl w:val="DAB85652"/>
    <w:lvl w:ilvl="0" w:tplc="E9BC980C">
      <w:start w:val="1"/>
      <w:numFmt w:val="bullet"/>
      <w:lvlText w:val="•"/>
      <w:lvlJc w:val="left"/>
      <w:pPr>
        <w:tabs>
          <w:tab w:val="num" w:pos="720"/>
        </w:tabs>
        <w:ind w:left="720" w:hanging="360"/>
      </w:pPr>
      <w:rPr>
        <w:rFonts w:ascii="Arial" w:hAnsi="Arial" w:hint="default"/>
      </w:rPr>
    </w:lvl>
    <w:lvl w:ilvl="1" w:tplc="8CCA8438" w:tentative="1">
      <w:start w:val="1"/>
      <w:numFmt w:val="bullet"/>
      <w:lvlText w:val="•"/>
      <w:lvlJc w:val="left"/>
      <w:pPr>
        <w:tabs>
          <w:tab w:val="num" w:pos="1440"/>
        </w:tabs>
        <w:ind w:left="1440" w:hanging="360"/>
      </w:pPr>
      <w:rPr>
        <w:rFonts w:ascii="Arial" w:hAnsi="Arial" w:hint="default"/>
      </w:rPr>
    </w:lvl>
    <w:lvl w:ilvl="2" w:tplc="BA004B32" w:tentative="1">
      <w:start w:val="1"/>
      <w:numFmt w:val="bullet"/>
      <w:lvlText w:val="•"/>
      <w:lvlJc w:val="left"/>
      <w:pPr>
        <w:tabs>
          <w:tab w:val="num" w:pos="2160"/>
        </w:tabs>
        <w:ind w:left="2160" w:hanging="360"/>
      </w:pPr>
      <w:rPr>
        <w:rFonts w:ascii="Arial" w:hAnsi="Arial" w:hint="default"/>
      </w:rPr>
    </w:lvl>
    <w:lvl w:ilvl="3" w:tplc="18DABB1E" w:tentative="1">
      <w:start w:val="1"/>
      <w:numFmt w:val="bullet"/>
      <w:lvlText w:val="•"/>
      <w:lvlJc w:val="left"/>
      <w:pPr>
        <w:tabs>
          <w:tab w:val="num" w:pos="2880"/>
        </w:tabs>
        <w:ind w:left="2880" w:hanging="360"/>
      </w:pPr>
      <w:rPr>
        <w:rFonts w:ascii="Arial" w:hAnsi="Arial" w:hint="default"/>
      </w:rPr>
    </w:lvl>
    <w:lvl w:ilvl="4" w:tplc="F78094A4" w:tentative="1">
      <w:start w:val="1"/>
      <w:numFmt w:val="bullet"/>
      <w:lvlText w:val="•"/>
      <w:lvlJc w:val="left"/>
      <w:pPr>
        <w:tabs>
          <w:tab w:val="num" w:pos="3600"/>
        </w:tabs>
        <w:ind w:left="3600" w:hanging="360"/>
      </w:pPr>
      <w:rPr>
        <w:rFonts w:ascii="Arial" w:hAnsi="Arial" w:hint="default"/>
      </w:rPr>
    </w:lvl>
    <w:lvl w:ilvl="5" w:tplc="F0CA27F4" w:tentative="1">
      <w:start w:val="1"/>
      <w:numFmt w:val="bullet"/>
      <w:lvlText w:val="•"/>
      <w:lvlJc w:val="left"/>
      <w:pPr>
        <w:tabs>
          <w:tab w:val="num" w:pos="4320"/>
        </w:tabs>
        <w:ind w:left="4320" w:hanging="360"/>
      </w:pPr>
      <w:rPr>
        <w:rFonts w:ascii="Arial" w:hAnsi="Arial" w:hint="default"/>
      </w:rPr>
    </w:lvl>
    <w:lvl w:ilvl="6" w:tplc="0B8A1152" w:tentative="1">
      <w:start w:val="1"/>
      <w:numFmt w:val="bullet"/>
      <w:lvlText w:val="•"/>
      <w:lvlJc w:val="left"/>
      <w:pPr>
        <w:tabs>
          <w:tab w:val="num" w:pos="5040"/>
        </w:tabs>
        <w:ind w:left="5040" w:hanging="360"/>
      </w:pPr>
      <w:rPr>
        <w:rFonts w:ascii="Arial" w:hAnsi="Arial" w:hint="default"/>
      </w:rPr>
    </w:lvl>
    <w:lvl w:ilvl="7" w:tplc="C6F0686C" w:tentative="1">
      <w:start w:val="1"/>
      <w:numFmt w:val="bullet"/>
      <w:lvlText w:val="•"/>
      <w:lvlJc w:val="left"/>
      <w:pPr>
        <w:tabs>
          <w:tab w:val="num" w:pos="5760"/>
        </w:tabs>
        <w:ind w:left="5760" w:hanging="360"/>
      </w:pPr>
      <w:rPr>
        <w:rFonts w:ascii="Arial" w:hAnsi="Arial" w:hint="default"/>
      </w:rPr>
    </w:lvl>
    <w:lvl w:ilvl="8" w:tplc="8644739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DCE7010"/>
    <w:multiLevelType w:val="hybridMultilevel"/>
    <w:tmpl w:val="B5364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AE5FB1"/>
    <w:multiLevelType w:val="hybridMultilevel"/>
    <w:tmpl w:val="929A8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02D611B"/>
    <w:multiLevelType w:val="hybridMultilevel"/>
    <w:tmpl w:val="61AC998A"/>
    <w:lvl w:ilvl="0" w:tplc="324AC5A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2E0352"/>
    <w:multiLevelType w:val="hybridMultilevel"/>
    <w:tmpl w:val="DB888F34"/>
    <w:lvl w:ilvl="0" w:tplc="6AA6EA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D2202B"/>
    <w:multiLevelType w:val="hybridMultilevel"/>
    <w:tmpl w:val="94982532"/>
    <w:lvl w:ilvl="0" w:tplc="587AD35E">
      <w:start w:val="1"/>
      <w:numFmt w:val="bullet"/>
      <w:lvlText w:val="•"/>
      <w:lvlJc w:val="left"/>
      <w:pPr>
        <w:tabs>
          <w:tab w:val="num" w:pos="720"/>
        </w:tabs>
        <w:ind w:left="720" w:hanging="360"/>
      </w:pPr>
      <w:rPr>
        <w:rFonts w:ascii="Arial" w:hAnsi="Arial" w:hint="default"/>
      </w:rPr>
    </w:lvl>
    <w:lvl w:ilvl="1" w:tplc="6FBACA34" w:tentative="1">
      <w:start w:val="1"/>
      <w:numFmt w:val="bullet"/>
      <w:lvlText w:val="•"/>
      <w:lvlJc w:val="left"/>
      <w:pPr>
        <w:tabs>
          <w:tab w:val="num" w:pos="1440"/>
        </w:tabs>
        <w:ind w:left="1440" w:hanging="360"/>
      </w:pPr>
      <w:rPr>
        <w:rFonts w:ascii="Arial" w:hAnsi="Arial" w:hint="default"/>
      </w:rPr>
    </w:lvl>
    <w:lvl w:ilvl="2" w:tplc="A6EAEC20" w:tentative="1">
      <w:start w:val="1"/>
      <w:numFmt w:val="bullet"/>
      <w:lvlText w:val="•"/>
      <w:lvlJc w:val="left"/>
      <w:pPr>
        <w:tabs>
          <w:tab w:val="num" w:pos="2160"/>
        </w:tabs>
        <w:ind w:left="2160" w:hanging="360"/>
      </w:pPr>
      <w:rPr>
        <w:rFonts w:ascii="Arial" w:hAnsi="Arial" w:hint="default"/>
      </w:rPr>
    </w:lvl>
    <w:lvl w:ilvl="3" w:tplc="25741DDA" w:tentative="1">
      <w:start w:val="1"/>
      <w:numFmt w:val="bullet"/>
      <w:lvlText w:val="•"/>
      <w:lvlJc w:val="left"/>
      <w:pPr>
        <w:tabs>
          <w:tab w:val="num" w:pos="2880"/>
        </w:tabs>
        <w:ind w:left="2880" w:hanging="360"/>
      </w:pPr>
      <w:rPr>
        <w:rFonts w:ascii="Arial" w:hAnsi="Arial" w:hint="default"/>
      </w:rPr>
    </w:lvl>
    <w:lvl w:ilvl="4" w:tplc="85E4DD60" w:tentative="1">
      <w:start w:val="1"/>
      <w:numFmt w:val="bullet"/>
      <w:lvlText w:val="•"/>
      <w:lvlJc w:val="left"/>
      <w:pPr>
        <w:tabs>
          <w:tab w:val="num" w:pos="3600"/>
        </w:tabs>
        <w:ind w:left="3600" w:hanging="360"/>
      </w:pPr>
      <w:rPr>
        <w:rFonts w:ascii="Arial" w:hAnsi="Arial" w:hint="default"/>
      </w:rPr>
    </w:lvl>
    <w:lvl w:ilvl="5" w:tplc="6BAE623E" w:tentative="1">
      <w:start w:val="1"/>
      <w:numFmt w:val="bullet"/>
      <w:lvlText w:val="•"/>
      <w:lvlJc w:val="left"/>
      <w:pPr>
        <w:tabs>
          <w:tab w:val="num" w:pos="4320"/>
        </w:tabs>
        <w:ind w:left="4320" w:hanging="360"/>
      </w:pPr>
      <w:rPr>
        <w:rFonts w:ascii="Arial" w:hAnsi="Arial" w:hint="default"/>
      </w:rPr>
    </w:lvl>
    <w:lvl w:ilvl="6" w:tplc="6A8CDDE4" w:tentative="1">
      <w:start w:val="1"/>
      <w:numFmt w:val="bullet"/>
      <w:lvlText w:val="•"/>
      <w:lvlJc w:val="left"/>
      <w:pPr>
        <w:tabs>
          <w:tab w:val="num" w:pos="5040"/>
        </w:tabs>
        <w:ind w:left="5040" w:hanging="360"/>
      </w:pPr>
      <w:rPr>
        <w:rFonts w:ascii="Arial" w:hAnsi="Arial" w:hint="default"/>
      </w:rPr>
    </w:lvl>
    <w:lvl w:ilvl="7" w:tplc="10BA1BD8" w:tentative="1">
      <w:start w:val="1"/>
      <w:numFmt w:val="bullet"/>
      <w:lvlText w:val="•"/>
      <w:lvlJc w:val="left"/>
      <w:pPr>
        <w:tabs>
          <w:tab w:val="num" w:pos="5760"/>
        </w:tabs>
        <w:ind w:left="5760" w:hanging="360"/>
      </w:pPr>
      <w:rPr>
        <w:rFonts w:ascii="Arial" w:hAnsi="Arial" w:hint="default"/>
      </w:rPr>
    </w:lvl>
    <w:lvl w:ilvl="8" w:tplc="6CFEC38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4D35147"/>
    <w:multiLevelType w:val="multilevel"/>
    <w:tmpl w:val="8F8EE6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E02137"/>
    <w:multiLevelType w:val="hybridMultilevel"/>
    <w:tmpl w:val="F1DAE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5A2CDF"/>
    <w:multiLevelType w:val="hybridMultilevel"/>
    <w:tmpl w:val="3B5A6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8E86C5E"/>
    <w:multiLevelType w:val="hybridMultilevel"/>
    <w:tmpl w:val="4A00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441FAF"/>
    <w:multiLevelType w:val="hybridMultilevel"/>
    <w:tmpl w:val="6BD6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66413E"/>
    <w:multiLevelType w:val="hybridMultilevel"/>
    <w:tmpl w:val="41081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1F64598"/>
    <w:multiLevelType w:val="hybridMultilevel"/>
    <w:tmpl w:val="28628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24519FD"/>
    <w:multiLevelType w:val="hybridMultilevel"/>
    <w:tmpl w:val="809AF7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461036B"/>
    <w:multiLevelType w:val="hybridMultilevel"/>
    <w:tmpl w:val="C89CC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8146C52"/>
    <w:multiLevelType w:val="hybridMultilevel"/>
    <w:tmpl w:val="4B2C5960"/>
    <w:lvl w:ilvl="0" w:tplc="18889754">
      <w:start w:val="1"/>
      <w:numFmt w:val="decimal"/>
      <w:lvlText w:val="%1."/>
      <w:lvlJc w:val="left"/>
      <w:pPr>
        <w:ind w:left="720" w:hanging="360"/>
      </w:pPr>
      <w:rPr>
        <w:rFonts w:eastAsia="Calibr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197CCB"/>
    <w:multiLevelType w:val="hybridMultilevel"/>
    <w:tmpl w:val="ADE23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9561B03"/>
    <w:multiLevelType w:val="multilevel"/>
    <w:tmpl w:val="52A05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0E2F60"/>
    <w:multiLevelType w:val="hybridMultilevel"/>
    <w:tmpl w:val="6BBE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7D395C"/>
    <w:multiLevelType w:val="hybridMultilevel"/>
    <w:tmpl w:val="BC4E6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BF243B7"/>
    <w:multiLevelType w:val="hybridMultilevel"/>
    <w:tmpl w:val="7D62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18559F"/>
    <w:multiLevelType w:val="hybridMultilevel"/>
    <w:tmpl w:val="037E6596"/>
    <w:lvl w:ilvl="0" w:tplc="8E8E5D0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4579B3"/>
    <w:multiLevelType w:val="hybridMultilevel"/>
    <w:tmpl w:val="54C433DE"/>
    <w:lvl w:ilvl="0" w:tplc="1A7C4A5E">
      <w:start w:val="1"/>
      <w:numFmt w:val="bullet"/>
      <w:lvlText w:val="•"/>
      <w:lvlJc w:val="left"/>
      <w:pPr>
        <w:tabs>
          <w:tab w:val="num" w:pos="720"/>
        </w:tabs>
        <w:ind w:left="720" w:hanging="360"/>
      </w:pPr>
      <w:rPr>
        <w:rFonts w:ascii="Arial" w:hAnsi="Arial" w:hint="default"/>
      </w:rPr>
    </w:lvl>
    <w:lvl w:ilvl="1" w:tplc="764E0640" w:tentative="1">
      <w:start w:val="1"/>
      <w:numFmt w:val="bullet"/>
      <w:lvlText w:val="•"/>
      <w:lvlJc w:val="left"/>
      <w:pPr>
        <w:tabs>
          <w:tab w:val="num" w:pos="1440"/>
        </w:tabs>
        <w:ind w:left="1440" w:hanging="360"/>
      </w:pPr>
      <w:rPr>
        <w:rFonts w:ascii="Arial" w:hAnsi="Arial" w:hint="default"/>
      </w:rPr>
    </w:lvl>
    <w:lvl w:ilvl="2" w:tplc="070E0588" w:tentative="1">
      <w:start w:val="1"/>
      <w:numFmt w:val="bullet"/>
      <w:lvlText w:val="•"/>
      <w:lvlJc w:val="left"/>
      <w:pPr>
        <w:tabs>
          <w:tab w:val="num" w:pos="2160"/>
        </w:tabs>
        <w:ind w:left="2160" w:hanging="360"/>
      </w:pPr>
      <w:rPr>
        <w:rFonts w:ascii="Arial" w:hAnsi="Arial" w:hint="default"/>
      </w:rPr>
    </w:lvl>
    <w:lvl w:ilvl="3" w:tplc="9FE0F4BA" w:tentative="1">
      <w:start w:val="1"/>
      <w:numFmt w:val="bullet"/>
      <w:lvlText w:val="•"/>
      <w:lvlJc w:val="left"/>
      <w:pPr>
        <w:tabs>
          <w:tab w:val="num" w:pos="2880"/>
        </w:tabs>
        <w:ind w:left="2880" w:hanging="360"/>
      </w:pPr>
      <w:rPr>
        <w:rFonts w:ascii="Arial" w:hAnsi="Arial" w:hint="default"/>
      </w:rPr>
    </w:lvl>
    <w:lvl w:ilvl="4" w:tplc="3EBC0544" w:tentative="1">
      <w:start w:val="1"/>
      <w:numFmt w:val="bullet"/>
      <w:lvlText w:val="•"/>
      <w:lvlJc w:val="left"/>
      <w:pPr>
        <w:tabs>
          <w:tab w:val="num" w:pos="3600"/>
        </w:tabs>
        <w:ind w:left="3600" w:hanging="360"/>
      </w:pPr>
      <w:rPr>
        <w:rFonts w:ascii="Arial" w:hAnsi="Arial" w:hint="default"/>
      </w:rPr>
    </w:lvl>
    <w:lvl w:ilvl="5" w:tplc="4FB40A94" w:tentative="1">
      <w:start w:val="1"/>
      <w:numFmt w:val="bullet"/>
      <w:lvlText w:val="•"/>
      <w:lvlJc w:val="left"/>
      <w:pPr>
        <w:tabs>
          <w:tab w:val="num" w:pos="4320"/>
        </w:tabs>
        <w:ind w:left="4320" w:hanging="360"/>
      </w:pPr>
      <w:rPr>
        <w:rFonts w:ascii="Arial" w:hAnsi="Arial" w:hint="default"/>
      </w:rPr>
    </w:lvl>
    <w:lvl w:ilvl="6" w:tplc="2D7C48EE" w:tentative="1">
      <w:start w:val="1"/>
      <w:numFmt w:val="bullet"/>
      <w:lvlText w:val="•"/>
      <w:lvlJc w:val="left"/>
      <w:pPr>
        <w:tabs>
          <w:tab w:val="num" w:pos="5040"/>
        </w:tabs>
        <w:ind w:left="5040" w:hanging="360"/>
      </w:pPr>
      <w:rPr>
        <w:rFonts w:ascii="Arial" w:hAnsi="Arial" w:hint="default"/>
      </w:rPr>
    </w:lvl>
    <w:lvl w:ilvl="7" w:tplc="69765C36" w:tentative="1">
      <w:start w:val="1"/>
      <w:numFmt w:val="bullet"/>
      <w:lvlText w:val="•"/>
      <w:lvlJc w:val="left"/>
      <w:pPr>
        <w:tabs>
          <w:tab w:val="num" w:pos="5760"/>
        </w:tabs>
        <w:ind w:left="5760" w:hanging="360"/>
      </w:pPr>
      <w:rPr>
        <w:rFonts w:ascii="Arial" w:hAnsi="Arial" w:hint="default"/>
      </w:rPr>
    </w:lvl>
    <w:lvl w:ilvl="8" w:tplc="05E21C9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E5F5E63"/>
    <w:multiLevelType w:val="hybridMultilevel"/>
    <w:tmpl w:val="35D4867C"/>
    <w:lvl w:ilvl="0" w:tplc="C77C963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3454A5E"/>
    <w:multiLevelType w:val="hybridMultilevel"/>
    <w:tmpl w:val="34D4EFE6"/>
    <w:lvl w:ilvl="0" w:tplc="1DF0C4A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34F4D44"/>
    <w:multiLevelType w:val="hybridMultilevel"/>
    <w:tmpl w:val="DAC8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3B26A2"/>
    <w:multiLevelType w:val="hybridMultilevel"/>
    <w:tmpl w:val="79D68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251217"/>
    <w:multiLevelType w:val="hybridMultilevel"/>
    <w:tmpl w:val="5B040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A803758"/>
    <w:multiLevelType w:val="hybridMultilevel"/>
    <w:tmpl w:val="B7664CCA"/>
    <w:lvl w:ilvl="0" w:tplc="DED6759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C6A139E"/>
    <w:multiLevelType w:val="multilevel"/>
    <w:tmpl w:val="81B8C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A13E86"/>
    <w:multiLevelType w:val="hybridMultilevel"/>
    <w:tmpl w:val="B8E8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4B6360"/>
    <w:multiLevelType w:val="hybridMultilevel"/>
    <w:tmpl w:val="58D43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5B803A7"/>
    <w:multiLevelType w:val="hybridMultilevel"/>
    <w:tmpl w:val="CA3E5B32"/>
    <w:lvl w:ilvl="0" w:tplc="C33209CA">
      <w:start w:val="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5DF655B"/>
    <w:multiLevelType w:val="multilevel"/>
    <w:tmpl w:val="52A05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E841CC"/>
    <w:multiLevelType w:val="hybridMultilevel"/>
    <w:tmpl w:val="BC605E5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B7A7CDB"/>
    <w:multiLevelType w:val="hybridMultilevel"/>
    <w:tmpl w:val="D408B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E190BE3"/>
    <w:multiLevelType w:val="hybridMultilevel"/>
    <w:tmpl w:val="8CDE91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E3A752E"/>
    <w:multiLevelType w:val="hybridMultilevel"/>
    <w:tmpl w:val="C31ED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EFC08EC"/>
    <w:multiLevelType w:val="hybridMultilevel"/>
    <w:tmpl w:val="E29E6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1FF01E5"/>
    <w:multiLevelType w:val="hybridMultilevel"/>
    <w:tmpl w:val="1E6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F287D"/>
    <w:multiLevelType w:val="hybridMultilevel"/>
    <w:tmpl w:val="05E0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733B5F"/>
    <w:multiLevelType w:val="hybridMultilevel"/>
    <w:tmpl w:val="E9B08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A1E21F2"/>
    <w:multiLevelType w:val="hybridMultilevel"/>
    <w:tmpl w:val="07BE4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701B24"/>
    <w:multiLevelType w:val="hybridMultilevel"/>
    <w:tmpl w:val="FB8E3450"/>
    <w:lvl w:ilvl="0" w:tplc="F244C0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7CE07089"/>
    <w:multiLevelType w:val="hybridMultilevel"/>
    <w:tmpl w:val="2CDA3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93860127">
    <w:abstractNumId w:val="28"/>
  </w:num>
  <w:num w:numId="2" w16cid:durableId="2113277575">
    <w:abstractNumId w:val="6"/>
  </w:num>
  <w:num w:numId="3" w16cid:durableId="2127502517">
    <w:abstractNumId w:val="1"/>
  </w:num>
  <w:num w:numId="4" w16cid:durableId="510923259">
    <w:abstractNumId w:val="61"/>
  </w:num>
  <w:num w:numId="5" w16cid:durableId="131874283">
    <w:abstractNumId w:val="10"/>
  </w:num>
  <w:num w:numId="6" w16cid:durableId="1171070854">
    <w:abstractNumId w:val="15"/>
  </w:num>
  <w:num w:numId="7" w16cid:durableId="711541828">
    <w:abstractNumId w:val="16"/>
  </w:num>
  <w:num w:numId="8" w16cid:durableId="703016298">
    <w:abstractNumId w:val="60"/>
  </w:num>
  <w:num w:numId="9" w16cid:durableId="468669229">
    <w:abstractNumId w:val="25"/>
  </w:num>
  <w:num w:numId="10" w16cid:durableId="1304702669">
    <w:abstractNumId w:val="19"/>
  </w:num>
  <w:num w:numId="11" w16cid:durableId="721444196">
    <w:abstractNumId w:val="45"/>
  </w:num>
  <w:num w:numId="12" w16cid:durableId="375087024">
    <w:abstractNumId w:val="32"/>
  </w:num>
  <w:num w:numId="13" w16cid:durableId="258371513">
    <w:abstractNumId w:val="44"/>
  </w:num>
  <w:num w:numId="14" w16cid:durableId="1644239081">
    <w:abstractNumId w:val="13"/>
  </w:num>
  <w:num w:numId="15" w16cid:durableId="1881748747">
    <w:abstractNumId w:val="0"/>
  </w:num>
  <w:num w:numId="16" w16cid:durableId="1356617011">
    <w:abstractNumId w:val="34"/>
  </w:num>
  <w:num w:numId="17" w16cid:durableId="1631742379">
    <w:abstractNumId w:val="11"/>
  </w:num>
  <w:num w:numId="18" w16cid:durableId="152987234">
    <w:abstractNumId w:val="12"/>
  </w:num>
  <w:num w:numId="19" w16cid:durableId="159856932">
    <w:abstractNumId w:val="40"/>
  </w:num>
  <w:num w:numId="20" w16cid:durableId="1514880351">
    <w:abstractNumId w:val="42"/>
  </w:num>
  <w:num w:numId="21" w16cid:durableId="56981991">
    <w:abstractNumId w:val="22"/>
  </w:num>
  <w:num w:numId="22" w16cid:durableId="1879007599">
    <w:abstractNumId w:val="24"/>
  </w:num>
  <w:num w:numId="23" w16cid:durableId="2038508338">
    <w:abstractNumId w:val="35"/>
  </w:num>
  <w:num w:numId="24" w16cid:durableId="590545869">
    <w:abstractNumId w:val="36"/>
  </w:num>
  <w:num w:numId="25" w16cid:durableId="1418212386">
    <w:abstractNumId w:val="33"/>
  </w:num>
  <w:num w:numId="26" w16cid:durableId="2004240811">
    <w:abstractNumId w:val="59"/>
  </w:num>
  <w:num w:numId="27" w16cid:durableId="2011172764">
    <w:abstractNumId w:val="18"/>
  </w:num>
  <w:num w:numId="28" w16cid:durableId="1296175286">
    <w:abstractNumId w:val="43"/>
  </w:num>
  <w:num w:numId="29" w16cid:durableId="1391491980">
    <w:abstractNumId w:val="26"/>
  </w:num>
  <w:num w:numId="30" w16cid:durableId="1631281285">
    <w:abstractNumId w:val="21"/>
  </w:num>
  <w:num w:numId="31" w16cid:durableId="1003750020">
    <w:abstractNumId w:val="8"/>
  </w:num>
  <w:num w:numId="32" w16cid:durableId="880484275">
    <w:abstractNumId w:val="39"/>
  </w:num>
  <w:num w:numId="33" w16cid:durableId="1869754474">
    <w:abstractNumId w:val="52"/>
  </w:num>
  <w:num w:numId="34" w16cid:durableId="728842280">
    <w:abstractNumId w:val="27"/>
  </w:num>
  <w:num w:numId="35" w16cid:durableId="1181511514">
    <w:abstractNumId w:val="50"/>
  </w:num>
  <w:num w:numId="36" w16cid:durableId="187111103">
    <w:abstractNumId w:val="54"/>
  </w:num>
  <w:num w:numId="37" w16cid:durableId="1894081124">
    <w:abstractNumId w:val="65"/>
  </w:num>
  <w:num w:numId="38" w16cid:durableId="1811169849">
    <w:abstractNumId w:val="38"/>
  </w:num>
  <w:num w:numId="39" w16cid:durableId="613749657">
    <w:abstractNumId w:val="4"/>
  </w:num>
  <w:num w:numId="40" w16cid:durableId="249122140">
    <w:abstractNumId w:val="37"/>
  </w:num>
  <w:num w:numId="41" w16cid:durableId="2024431641">
    <w:abstractNumId w:val="62"/>
  </w:num>
  <w:num w:numId="42" w16cid:durableId="1095201266">
    <w:abstractNumId w:val="5"/>
  </w:num>
  <w:num w:numId="43" w16cid:durableId="655063745">
    <w:abstractNumId w:val="48"/>
  </w:num>
  <w:num w:numId="44" w16cid:durableId="796530231">
    <w:abstractNumId w:val="23"/>
  </w:num>
  <w:num w:numId="45" w16cid:durableId="222495510">
    <w:abstractNumId w:val="29"/>
  </w:num>
  <w:num w:numId="46" w16cid:durableId="1786927460">
    <w:abstractNumId w:val="2"/>
  </w:num>
  <w:num w:numId="47" w16cid:durableId="588584146">
    <w:abstractNumId w:val="55"/>
  </w:num>
  <w:num w:numId="48" w16cid:durableId="964046034">
    <w:abstractNumId w:val="3"/>
  </w:num>
  <w:num w:numId="49" w16cid:durableId="2071340623">
    <w:abstractNumId w:val="58"/>
  </w:num>
  <w:num w:numId="50" w16cid:durableId="316767226">
    <w:abstractNumId w:val="17"/>
  </w:num>
  <w:num w:numId="51" w16cid:durableId="1064645466">
    <w:abstractNumId w:val="14"/>
  </w:num>
  <w:num w:numId="52" w16cid:durableId="1505319877">
    <w:abstractNumId w:val="53"/>
  </w:num>
  <w:num w:numId="53" w16cid:durableId="1432362635">
    <w:abstractNumId w:val="63"/>
  </w:num>
  <w:num w:numId="54" w16cid:durableId="1360929465">
    <w:abstractNumId w:val="46"/>
  </w:num>
  <w:num w:numId="55" w16cid:durableId="1540698670">
    <w:abstractNumId w:val="9"/>
  </w:num>
  <w:num w:numId="56" w16cid:durableId="2043751178">
    <w:abstractNumId w:val="51"/>
  </w:num>
  <w:num w:numId="57" w16cid:durableId="567695755">
    <w:abstractNumId w:val="41"/>
  </w:num>
  <w:num w:numId="58" w16cid:durableId="866135768">
    <w:abstractNumId w:val="30"/>
  </w:num>
  <w:num w:numId="59" w16cid:durableId="1628851729">
    <w:abstractNumId w:val="7"/>
  </w:num>
  <w:num w:numId="60" w16cid:durableId="1976829619">
    <w:abstractNumId w:val="56"/>
  </w:num>
  <w:num w:numId="61" w16cid:durableId="1100298059">
    <w:abstractNumId w:val="20"/>
  </w:num>
  <w:num w:numId="62" w16cid:durableId="1407066610">
    <w:abstractNumId w:val="47"/>
  </w:num>
  <w:num w:numId="63" w16cid:durableId="708341657">
    <w:abstractNumId w:val="49"/>
  </w:num>
  <w:num w:numId="64" w16cid:durableId="967128999">
    <w:abstractNumId w:val="64"/>
  </w:num>
  <w:num w:numId="65" w16cid:durableId="756751494">
    <w:abstractNumId w:val="57"/>
  </w:num>
  <w:num w:numId="66" w16cid:durableId="679159244">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C9"/>
    <w:rsid w:val="00000D61"/>
    <w:rsid w:val="000117AF"/>
    <w:rsid w:val="000140D5"/>
    <w:rsid w:val="00017070"/>
    <w:rsid w:val="00024BDC"/>
    <w:rsid w:val="00025D1E"/>
    <w:rsid w:val="00032507"/>
    <w:rsid w:val="00033492"/>
    <w:rsid w:val="00033BA1"/>
    <w:rsid w:val="00034651"/>
    <w:rsid w:val="00036936"/>
    <w:rsid w:val="00037167"/>
    <w:rsid w:val="00044F0B"/>
    <w:rsid w:val="00052F56"/>
    <w:rsid w:val="00055E47"/>
    <w:rsid w:val="00062194"/>
    <w:rsid w:val="00063587"/>
    <w:rsid w:val="00063AE9"/>
    <w:rsid w:val="00070DD4"/>
    <w:rsid w:val="000713D6"/>
    <w:rsid w:val="00071C5C"/>
    <w:rsid w:val="00072992"/>
    <w:rsid w:val="00075D00"/>
    <w:rsid w:val="00083CB7"/>
    <w:rsid w:val="00084CE5"/>
    <w:rsid w:val="0008691D"/>
    <w:rsid w:val="00096368"/>
    <w:rsid w:val="00096E0B"/>
    <w:rsid w:val="000A0D91"/>
    <w:rsid w:val="000A64E2"/>
    <w:rsid w:val="000C21C2"/>
    <w:rsid w:val="000C46FC"/>
    <w:rsid w:val="000C70FE"/>
    <w:rsid w:val="000D0E16"/>
    <w:rsid w:val="000D223A"/>
    <w:rsid w:val="000E1356"/>
    <w:rsid w:val="000E181B"/>
    <w:rsid w:val="000F1492"/>
    <w:rsid w:val="000F2C36"/>
    <w:rsid w:val="000F32DC"/>
    <w:rsid w:val="000F3927"/>
    <w:rsid w:val="000F5294"/>
    <w:rsid w:val="000F7D01"/>
    <w:rsid w:val="00101AC2"/>
    <w:rsid w:val="001043F0"/>
    <w:rsid w:val="00125633"/>
    <w:rsid w:val="00125957"/>
    <w:rsid w:val="0012798E"/>
    <w:rsid w:val="00130660"/>
    <w:rsid w:val="001320DB"/>
    <w:rsid w:val="00132FE9"/>
    <w:rsid w:val="00133A0A"/>
    <w:rsid w:val="00133A9C"/>
    <w:rsid w:val="0013656A"/>
    <w:rsid w:val="00136D30"/>
    <w:rsid w:val="0014222E"/>
    <w:rsid w:val="00144163"/>
    <w:rsid w:val="00144B99"/>
    <w:rsid w:val="001514B4"/>
    <w:rsid w:val="00151952"/>
    <w:rsid w:val="00154EFD"/>
    <w:rsid w:val="001614CB"/>
    <w:rsid w:val="00162F60"/>
    <w:rsid w:val="00164AFC"/>
    <w:rsid w:val="00166546"/>
    <w:rsid w:val="00174A29"/>
    <w:rsid w:val="00177657"/>
    <w:rsid w:val="001850F5"/>
    <w:rsid w:val="00190790"/>
    <w:rsid w:val="001921D0"/>
    <w:rsid w:val="00193FB5"/>
    <w:rsid w:val="001941AC"/>
    <w:rsid w:val="00194585"/>
    <w:rsid w:val="001946B6"/>
    <w:rsid w:val="00197C6A"/>
    <w:rsid w:val="001A00D9"/>
    <w:rsid w:val="001A4220"/>
    <w:rsid w:val="001A4DC6"/>
    <w:rsid w:val="001B3DD3"/>
    <w:rsid w:val="001B528A"/>
    <w:rsid w:val="001C3319"/>
    <w:rsid w:val="001C4F00"/>
    <w:rsid w:val="001C7452"/>
    <w:rsid w:val="001C7956"/>
    <w:rsid w:val="001C79ED"/>
    <w:rsid w:val="001D0A9F"/>
    <w:rsid w:val="001D2EA2"/>
    <w:rsid w:val="001D382E"/>
    <w:rsid w:val="001D5A26"/>
    <w:rsid w:val="001D7BEC"/>
    <w:rsid w:val="001E02DC"/>
    <w:rsid w:val="001E08C0"/>
    <w:rsid w:val="001E0B02"/>
    <w:rsid w:val="001E6BA4"/>
    <w:rsid w:val="001F16F8"/>
    <w:rsid w:val="002003B3"/>
    <w:rsid w:val="002028C9"/>
    <w:rsid w:val="0021171A"/>
    <w:rsid w:val="00211998"/>
    <w:rsid w:val="002130AE"/>
    <w:rsid w:val="0022318B"/>
    <w:rsid w:val="00223395"/>
    <w:rsid w:val="002237EB"/>
    <w:rsid w:val="00225B09"/>
    <w:rsid w:val="00242D8A"/>
    <w:rsid w:val="00252E55"/>
    <w:rsid w:val="00260709"/>
    <w:rsid w:val="0026601D"/>
    <w:rsid w:val="002739A6"/>
    <w:rsid w:val="002749BF"/>
    <w:rsid w:val="002823F4"/>
    <w:rsid w:val="00283791"/>
    <w:rsid w:val="00284350"/>
    <w:rsid w:val="00284C5D"/>
    <w:rsid w:val="00285D02"/>
    <w:rsid w:val="002918EC"/>
    <w:rsid w:val="00292EC3"/>
    <w:rsid w:val="00296048"/>
    <w:rsid w:val="002A1A83"/>
    <w:rsid w:val="002B503A"/>
    <w:rsid w:val="002C70EA"/>
    <w:rsid w:val="002D0388"/>
    <w:rsid w:val="002D517F"/>
    <w:rsid w:val="002D6AB5"/>
    <w:rsid w:val="002D74D9"/>
    <w:rsid w:val="002F165C"/>
    <w:rsid w:val="002F173A"/>
    <w:rsid w:val="002F3225"/>
    <w:rsid w:val="00302123"/>
    <w:rsid w:val="0030297D"/>
    <w:rsid w:val="00304787"/>
    <w:rsid w:val="00307BDB"/>
    <w:rsid w:val="003119A1"/>
    <w:rsid w:val="00312AAD"/>
    <w:rsid w:val="0031478C"/>
    <w:rsid w:val="00320CCA"/>
    <w:rsid w:val="00325911"/>
    <w:rsid w:val="00332A03"/>
    <w:rsid w:val="003358F5"/>
    <w:rsid w:val="00340897"/>
    <w:rsid w:val="00343536"/>
    <w:rsid w:val="003438B8"/>
    <w:rsid w:val="003553AD"/>
    <w:rsid w:val="00355663"/>
    <w:rsid w:val="00357B8B"/>
    <w:rsid w:val="00360C41"/>
    <w:rsid w:val="003642A1"/>
    <w:rsid w:val="00370A53"/>
    <w:rsid w:val="003760DC"/>
    <w:rsid w:val="003804C7"/>
    <w:rsid w:val="0038243A"/>
    <w:rsid w:val="00384DB3"/>
    <w:rsid w:val="00394188"/>
    <w:rsid w:val="003A3EB2"/>
    <w:rsid w:val="003A4ED1"/>
    <w:rsid w:val="003A7A6F"/>
    <w:rsid w:val="003B3122"/>
    <w:rsid w:val="003B347C"/>
    <w:rsid w:val="003B653E"/>
    <w:rsid w:val="003C6F0A"/>
    <w:rsid w:val="003C723D"/>
    <w:rsid w:val="003E1D10"/>
    <w:rsid w:val="003E2AF6"/>
    <w:rsid w:val="003E2B60"/>
    <w:rsid w:val="003E4826"/>
    <w:rsid w:val="003E55DB"/>
    <w:rsid w:val="003E6803"/>
    <w:rsid w:val="003E7B72"/>
    <w:rsid w:val="003F35B5"/>
    <w:rsid w:val="00400F5F"/>
    <w:rsid w:val="00405B06"/>
    <w:rsid w:val="00405F55"/>
    <w:rsid w:val="00406003"/>
    <w:rsid w:val="00411B19"/>
    <w:rsid w:val="004144FF"/>
    <w:rsid w:val="00415A11"/>
    <w:rsid w:val="00421320"/>
    <w:rsid w:val="00425DA2"/>
    <w:rsid w:val="0043022A"/>
    <w:rsid w:val="00433B9E"/>
    <w:rsid w:val="00434335"/>
    <w:rsid w:val="00434E82"/>
    <w:rsid w:val="00437144"/>
    <w:rsid w:val="00437353"/>
    <w:rsid w:val="00437A93"/>
    <w:rsid w:val="004430C1"/>
    <w:rsid w:val="004463EF"/>
    <w:rsid w:val="00450A0B"/>
    <w:rsid w:val="00455339"/>
    <w:rsid w:val="00460F82"/>
    <w:rsid w:val="00466742"/>
    <w:rsid w:val="00471D6F"/>
    <w:rsid w:val="00472A7F"/>
    <w:rsid w:val="004769EF"/>
    <w:rsid w:val="00477942"/>
    <w:rsid w:val="00481CF0"/>
    <w:rsid w:val="00486AE4"/>
    <w:rsid w:val="004B6692"/>
    <w:rsid w:val="004B7F7D"/>
    <w:rsid w:val="004C6DBB"/>
    <w:rsid w:val="004D3290"/>
    <w:rsid w:val="004D5C17"/>
    <w:rsid w:val="004D69A0"/>
    <w:rsid w:val="004D7E68"/>
    <w:rsid w:val="004E12D9"/>
    <w:rsid w:val="004E4FF1"/>
    <w:rsid w:val="004E7481"/>
    <w:rsid w:val="004F144C"/>
    <w:rsid w:val="004F293B"/>
    <w:rsid w:val="004F71E5"/>
    <w:rsid w:val="005024B9"/>
    <w:rsid w:val="00503629"/>
    <w:rsid w:val="00506018"/>
    <w:rsid w:val="00516EFC"/>
    <w:rsid w:val="0052163B"/>
    <w:rsid w:val="005216ED"/>
    <w:rsid w:val="00523C50"/>
    <w:rsid w:val="0052594B"/>
    <w:rsid w:val="00530C32"/>
    <w:rsid w:val="00541450"/>
    <w:rsid w:val="00551A7E"/>
    <w:rsid w:val="00551D2A"/>
    <w:rsid w:val="00553B4C"/>
    <w:rsid w:val="005610F9"/>
    <w:rsid w:val="00563458"/>
    <w:rsid w:val="00563462"/>
    <w:rsid w:val="00564C5B"/>
    <w:rsid w:val="00566472"/>
    <w:rsid w:val="00572CF5"/>
    <w:rsid w:val="00580F20"/>
    <w:rsid w:val="005830B5"/>
    <w:rsid w:val="00584702"/>
    <w:rsid w:val="00587E54"/>
    <w:rsid w:val="005916AB"/>
    <w:rsid w:val="005A0889"/>
    <w:rsid w:val="005A0ACE"/>
    <w:rsid w:val="005A312D"/>
    <w:rsid w:val="005A5EAB"/>
    <w:rsid w:val="005A6023"/>
    <w:rsid w:val="005A7E3F"/>
    <w:rsid w:val="005B0629"/>
    <w:rsid w:val="005B0BB1"/>
    <w:rsid w:val="005B10BD"/>
    <w:rsid w:val="005B3C61"/>
    <w:rsid w:val="005B64F3"/>
    <w:rsid w:val="005B6AAF"/>
    <w:rsid w:val="005C0675"/>
    <w:rsid w:val="005C1125"/>
    <w:rsid w:val="005C37A1"/>
    <w:rsid w:val="005C71BA"/>
    <w:rsid w:val="005D2F38"/>
    <w:rsid w:val="006046B4"/>
    <w:rsid w:val="00607B1C"/>
    <w:rsid w:val="00615221"/>
    <w:rsid w:val="00617352"/>
    <w:rsid w:val="00617394"/>
    <w:rsid w:val="006213EC"/>
    <w:rsid w:val="0062760C"/>
    <w:rsid w:val="00627663"/>
    <w:rsid w:val="00632034"/>
    <w:rsid w:val="00635A36"/>
    <w:rsid w:val="00636BE9"/>
    <w:rsid w:val="00640A5C"/>
    <w:rsid w:val="00640C61"/>
    <w:rsid w:val="0064545C"/>
    <w:rsid w:val="00663794"/>
    <w:rsid w:val="00667822"/>
    <w:rsid w:val="00671350"/>
    <w:rsid w:val="00684F65"/>
    <w:rsid w:val="00693FDC"/>
    <w:rsid w:val="00694859"/>
    <w:rsid w:val="0069535A"/>
    <w:rsid w:val="00695C77"/>
    <w:rsid w:val="00697F88"/>
    <w:rsid w:val="006A2CD1"/>
    <w:rsid w:val="006A5266"/>
    <w:rsid w:val="006A71C4"/>
    <w:rsid w:val="006A73E9"/>
    <w:rsid w:val="006B34D3"/>
    <w:rsid w:val="006B507C"/>
    <w:rsid w:val="006C1041"/>
    <w:rsid w:val="006C2B99"/>
    <w:rsid w:val="006C3FF4"/>
    <w:rsid w:val="006C404A"/>
    <w:rsid w:val="006C557B"/>
    <w:rsid w:val="006C78B1"/>
    <w:rsid w:val="006C7D01"/>
    <w:rsid w:val="006D2CDE"/>
    <w:rsid w:val="006D514B"/>
    <w:rsid w:val="006E2B4B"/>
    <w:rsid w:val="006E43A4"/>
    <w:rsid w:val="006E5C0C"/>
    <w:rsid w:val="006E6F88"/>
    <w:rsid w:val="006E7133"/>
    <w:rsid w:val="006F0A30"/>
    <w:rsid w:val="006F12BB"/>
    <w:rsid w:val="006F270D"/>
    <w:rsid w:val="006F44CA"/>
    <w:rsid w:val="007047B0"/>
    <w:rsid w:val="00720540"/>
    <w:rsid w:val="00721A36"/>
    <w:rsid w:val="00724B63"/>
    <w:rsid w:val="00727627"/>
    <w:rsid w:val="0072771F"/>
    <w:rsid w:val="0073529D"/>
    <w:rsid w:val="0073679B"/>
    <w:rsid w:val="007555B2"/>
    <w:rsid w:val="00760581"/>
    <w:rsid w:val="00766C9D"/>
    <w:rsid w:val="00772098"/>
    <w:rsid w:val="00773AC6"/>
    <w:rsid w:val="00775C2D"/>
    <w:rsid w:val="0079041A"/>
    <w:rsid w:val="00794F69"/>
    <w:rsid w:val="007A1C58"/>
    <w:rsid w:val="007B545B"/>
    <w:rsid w:val="007B797C"/>
    <w:rsid w:val="007C641D"/>
    <w:rsid w:val="007C6A73"/>
    <w:rsid w:val="007D2F1A"/>
    <w:rsid w:val="007D5A59"/>
    <w:rsid w:val="007E4289"/>
    <w:rsid w:val="007F1387"/>
    <w:rsid w:val="007F1DBE"/>
    <w:rsid w:val="007F74AE"/>
    <w:rsid w:val="0080396A"/>
    <w:rsid w:val="00804216"/>
    <w:rsid w:val="008123D6"/>
    <w:rsid w:val="00815750"/>
    <w:rsid w:val="008316D1"/>
    <w:rsid w:val="0083487D"/>
    <w:rsid w:val="00834D83"/>
    <w:rsid w:val="0083533E"/>
    <w:rsid w:val="00835666"/>
    <w:rsid w:val="00845B72"/>
    <w:rsid w:val="00854946"/>
    <w:rsid w:val="0086025E"/>
    <w:rsid w:val="00863631"/>
    <w:rsid w:val="00875145"/>
    <w:rsid w:val="00880164"/>
    <w:rsid w:val="00884BB8"/>
    <w:rsid w:val="00896D4E"/>
    <w:rsid w:val="008A0ADD"/>
    <w:rsid w:val="008A2798"/>
    <w:rsid w:val="008B082A"/>
    <w:rsid w:val="008B1BB3"/>
    <w:rsid w:val="008C2B50"/>
    <w:rsid w:val="008C2DAE"/>
    <w:rsid w:val="008C570A"/>
    <w:rsid w:val="008C591A"/>
    <w:rsid w:val="008C620A"/>
    <w:rsid w:val="008D11F0"/>
    <w:rsid w:val="008D1BD2"/>
    <w:rsid w:val="008D2442"/>
    <w:rsid w:val="008D4C6A"/>
    <w:rsid w:val="008D6894"/>
    <w:rsid w:val="008E3E18"/>
    <w:rsid w:val="008E48B4"/>
    <w:rsid w:val="008F46BF"/>
    <w:rsid w:val="008F4D09"/>
    <w:rsid w:val="008F5F96"/>
    <w:rsid w:val="00905593"/>
    <w:rsid w:val="00905AD0"/>
    <w:rsid w:val="009133B0"/>
    <w:rsid w:val="00916B7D"/>
    <w:rsid w:val="009228FD"/>
    <w:rsid w:val="009304AF"/>
    <w:rsid w:val="00930D0C"/>
    <w:rsid w:val="00933650"/>
    <w:rsid w:val="00933A96"/>
    <w:rsid w:val="00933FA1"/>
    <w:rsid w:val="00934247"/>
    <w:rsid w:val="00946B52"/>
    <w:rsid w:val="00954CEE"/>
    <w:rsid w:val="00955D3C"/>
    <w:rsid w:val="009566DC"/>
    <w:rsid w:val="0096698D"/>
    <w:rsid w:val="009745B2"/>
    <w:rsid w:val="0098196F"/>
    <w:rsid w:val="009862A4"/>
    <w:rsid w:val="00986E15"/>
    <w:rsid w:val="00996CE4"/>
    <w:rsid w:val="009A14E0"/>
    <w:rsid w:val="009A4F20"/>
    <w:rsid w:val="009C5D82"/>
    <w:rsid w:val="009C7EC5"/>
    <w:rsid w:val="009D4E43"/>
    <w:rsid w:val="009D6262"/>
    <w:rsid w:val="009E20A7"/>
    <w:rsid w:val="009E58D2"/>
    <w:rsid w:val="009F031C"/>
    <w:rsid w:val="009F31EB"/>
    <w:rsid w:val="009F46CF"/>
    <w:rsid w:val="009F7FBA"/>
    <w:rsid w:val="00A0281E"/>
    <w:rsid w:val="00A04A9E"/>
    <w:rsid w:val="00A0589D"/>
    <w:rsid w:val="00A060E5"/>
    <w:rsid w:val="00A112C2"/>
    <w:rsid w:val="00A13BDB"/>
    <w:rsid w:val="00A14A3E"/>
    <w:rsid w:val="00A16C6B"/>
    <w:rsid w:val="00A23924"/>
    <w:rsid w:val="00A30161"/>
    <w:rsid w:val="00A30289"/>
    <w:rsid w:val="00A36BEE"/>
    <w:rsid w:val="00A40311"/>
    <w:rsid w:val="00A40CB1"/>
    <w:rsid w:val="00A42482"/>
    <w:rsid w:val="00A45560"/>
    <w:rsid w:val="00A45E6E"/>
    <w:rsid w:val="00A4668E"/>
    <w:rsid w:val="00A47A06"/>
    <w:rsid w:val="00A47CF0"/>
    <w:rsid w:val="00A51112"/>
    <w:rsid w:val="00A51FA6"/>
    <w:rsid w:val="00A54BB1"/>
    <w:rsid w:val="00A641A3"/>
    <w:rsid w:val="00A65F68"/>
    <w:rsid w:val="00A714F4"/>
    <w:rsid w:val="00A746A8"/>
    <w:rsid w:val="00A83455"/>
    <w:rsid w:val="00A85395"/>
    <w:rsid w:val="00A8708D"/>
    <w:rsid w:val="00A93870"/>
    <w:rsid w:val="00A94D66"/>
    <w:rsid w:val="00A95EB4"/>
    <w:rsid w:val="00AA3180"/>
    <w:rsid w:val="00AA78E4"/>
    <w:rsid w:val="00AB02C1"/>
    <w:rsid w:val="00AB4665"/>
    <w:rsid w:val="00AB5103"/>
    <w:rsid w:val="00AB55D2"/>
    <w:rsid w:val="00AB6B76"/>
    <w:rsid w:val="00AC12FB"/>
    <w:rsid w:val="00AC2BB7"/>
    <w:rsid w:val="00AC6611"/>
    <w:rsid w:val="00AC6D68"/>
    <w:rsid w:val="00AD451C"/>
    <w:rsid w:val="00AD6B4B"/>
    <w:rsid w:val="00AF6189"/>
    <w:rsid w:val="00AF6B68"/>
    <w:rsid w:val="00B00B47"/>
    <w:rsid w:val="00B02091"/>
    <w:rsid w:val="00B25019"/>
    <w:rsid w:val="00B274D4"/>
    <w:rsid w:val="00B33496"/>
    <w:rsid w:val="00B3568B"/>
    <w:rsid w:val="00B52A4E"/>
    <w:rsid w:val="00B52E9F"/>
    <w:rsid w:val="00B54CE2"/>
    <w:rsid w:val="00B55196"/>
    <w:rsid w:val="00B5551D"/>
    <w:rsid w:val="00B627FF"/>
    <w:rsid w:val="00B641DD"/>
    <w:rsid w:val="00B66B73"/>
    <w:rsid w:val="00B726B4"/>
    <w:rsid w:val="00B77E30"/>
    <w:rsid w:val="00B825BA"/>
    <w:rsid w:val="00B82BDA"/>
    <w:rsid w:val="00B84A6B"/>
    <w:rsid w:val="00B920FE"/>
    <w:rsid w:val="00B927D3"/>
    <w:rsid w:val="00B9515B"/>
    <w:rsid w:val="00B9590C"/>
    <w:rsid w:val="00B95C25"/>
    <w:rsid w:val="00B9690B"/>
    <w:rsid w:val="00BA4818"/>
    <w:rsid w:val="00BA6804"/>
    <w:rsid w:val="00BA6F19"/>
    <w:rsid w:val="00BA7DB9"/>
    <w:rsid w:val="00BB644E"/>
    <w:rsid w:val="00BB64FE"/>
    <w:rsid w:val="00BC1F7A"/>
    <w:rsid w:val="00BC67F2"/>
    <w:rsid w:val="00BC6ED2"/>
    <w:rsid w:val="00BD3F15"/>
    <w:rsid w:val="00BD41E4"/>
    <w:rsid w:val="00BD62AA"/>
    <w:rsid w:val="00BF3DE2"/>
    <w:rsid w:val="00BF6793"/>
    <w:rsid w:val="00C0395F"/>
    <w:rsid w:val="00C04A8D"/>
    <w:rsid w:val="00C057E7"/>
    <w:rsid w:val="00C07A36"/>
    <w:rsid w:val="00C256B3"/>
    <w:rsid w:val="00C30669"/>
    <w:rsid w:val="00C321AD"/>
    <w:rsid w:val="00C36899"/>
    <w:rsid w:val="00C42C8D"/>
    <w:rsid w:val="00C43F1C"/>
    <w:rsid w:val="00C533F0"/>
    <w:rsid w:val="00C5358F"/>
    <w:rsid w:val="00C5545C"/>
    <w:rsid w:val="00C57901"/>
    <w:rsid w:val="00C6016D"/>
    <w:rsid w:val="00C60F74"/>
    <w:rsid w:val="00C65AF8"/>
    <w:rsid w:val="00C66D4B"/>
    <w:rsid w:val="00C70D4D"/>
    <w:rsid w:val="00C728D2"/>
    <w:rsid w:val="00C75A31"/>
    <w:rsid w:val="00C76D06"/>
    <w:rsid w:val="00C864F3"/>
    <w:rsid w:val="00C9406B"/>
    <w:rsid w:val="00C94B6D"/>
    <w:rsid w:val="00C96137"/>
    <w:rsid w:val="00C96342"/>
    <w:rsid w:val="00CA05FA"/>
    <w:rsid w:val="00CB7174"/>
    <w:rsid w:val="00CB79D4"/>
    <w:rsid w:val="00CC71E5"/>
    <w:rsid w:val="00CD2F17"/>
    <w:rsid w:val="00CD68A1"/>
    <w:rsid w:val="00CD7469"/>
    <w:rsid w:val="00CE42DD"/>
    <w:rsid w:val="00CF3F12"/>
    <w:rsid w:val="00CF6DCE"/>
    <w:rsid w:val="00CF7C37"/>
    <w:rsid w:val="00D103A8"/>
    <w:rsid w:val="00D1064A"/>
    <w:rsid w:val="00D14456"/>
    <w:rsid w:val="00D17D0D"/>
    <w:rsid w:val="00D20CB1"/>
    <w:rsid w:val="00D22451"/>
    <w:rsid w:val="00D250A0"/>
    <w:rsid w:val="00D261A6"/>
    <w:rsid w:val="00D32EAB"/>
    <w:rsid w:val="00D331E3"/>
    <w:rsid w:val="00D36C73"/>
    <w:rsid w:val="00D37865"/>
    <w:rsid w:val="00D37929"/>
    <w:rsid w:val="00D40412"/>
    <w:rsid w:val="00D40459"/>
    <w:rsid w:val="00D40633"/>
    <w:rsid w:val="00D41C02"/>
    <w:rsid w:val="00D462D8"/>
    <w:rsid w:val="00D56843"/>
    <w:rsid w:val="00D66D92"/>
    <w:rsid w:val="00D67CE3"/>
    <w:rsid w:val="00D700DB"/>
    <w:rsid w:val="00D91DFE"/>
    <w:rsid w:val="00D92ADA"/>
    <w:rsid w:val="00D94A1B"/>
    <w:rsid w:val="00DA6BBE"/>
    <w:rsid w:val="00DB0B14"/>
    <w:rsid w:val="00DB16C1"/>
    <w:rsid w:val="00DB218E"/>
    <w:rsid w:val="00DB2F53"/>
    <w:rsid w:val="00DB3407"/>
    <w:rsid w:val="00DB3771"/>
    <w:rsid w:val="00DB4A8E"/>
    <w:rsid w:val="00DB7426"/>
    <w:rsid w:val="00DC0167"/>
    <w:rsid w:val="00DC1696"/>
    <w:rsid w:val="00DC2FF8"/>
    <w:rsid w:val="00DC4E62"/>
    <w:rsid w:val="00DD5200"/>
    <w:rsid w:val="00DD7D9E"/>
    <w:rsid w:val="00DE32A5"/>
    <w:rsid w:val="00DE5457"/>
    <w:rsid w:val="00DF33A3"/>
    <w:rsid w:val="00DF6B73"/>
    <w:rsid w:val="00DF7DCB"/>
    <w:rsid w:val="00E11A47"/>
    <w:rsid w:val="00E12DA9"/>
    <w:rsid w:val="00E16BE6"/>
    <w:rsid w:val="00E20DF5"/>
    <w:rsid w:val="00E32C4A"/>
    <w:rsid w:val="00E5401E"/>
    <w:rsid w:val="00E55825"/>
    <w:rsid w:val="00E565BA"/>
    <w:rsid w:val="00E65FF6"/>
    <w:rsid w:val="00E674E2"/>
    <w:rsid w:val="00E72F77"/>
    <w:rsid w:val="00E73F0C"/>
    <w:rsid w:val="00E74A6F"/>
    <w:rsid w:val="00E8241D"/>
    <w:rsid w:val="00E95885"/>
    <w:rsid w:val="00EA4ADD"/>
    <w:rsid w:val="00EA75C8"/>
    <w:rsid w:val="00EC4C22"/>
    <w:rsid w:val="00ED00FC"/>
    <w:rsid w:val="00ED2E3E"/>
    <w:rsid w:val="00EE0BD7"/>
    <w:rsid w:val="00EF2A83"/>
    <w:rsid w:val="00F030F8"/>
    <w:rsid w:val="00F044F0"/>
    <w:rsid w:val="00F04D0F"/>
    <w:rsid w:val="00F15123"/>
    <w:rsid w:val="00F165AC"/>
    <w:rsid w:val="00F23189"/>
    <w:rsid w:val="00F25458"/>
    <w:rsid w:val="00F27F97"/>
    <w:rsid w:val="00F3414F"/>
    <w:rsid w:val="00F34D0B"/>
    <w:rsid w:val="00F35F9A"/>
    <w:rsid w:val="00F45DB9"/>
    <w:rsid w:val="00F63B42"/>
    <w:rsid w:val="00F63D1A"/>
    <w:rsid w:val="00F70057"/>
    <w:rsid w:val="00F709F6"/>
    <w:rsid w:val="00F74358"/>
    <w:rsid w:val="00F764D2"/>
    <w:rsid w:val="00F87592"/>
    <w:rsid w:val="00F903E6"/>
    <w:rsid w:val="00F9539C"/>
    <w:rsid w:val="00F962F7"/>
    <w:rsid w:val="00F96491"/>
    <w:rsid w:val="00FA01E8"/>
    <w:rsid w:val="00FA1251"/>
    <w:rsid w:val="00FA6E34"/>
    <w:rsid w:val="00FA6FDB"/>
    <w:rsid w:val="00FA731C"/>
    <w:rsid w:val="00FA7331"/>
    <w:rsid w:val="00FB3B64"/>
    <w:rsid w:val="00FB4E79"/>
    <w:rsid w:val="00FC4310"/>
    <w:rsid w:val="00FC5844"/>
    <w:rsid w:val="00FD5500"/>
    <w:rsid w:val="00FE06C5"/>
    <w:rsid w:val="00FE2DAC"/>
    <w:rsid w:val="00FF5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8917"/>
  <w15:chartTrackingRefBased/>
  <w15:docId w15:val="{06CA7EE4-1554-4FBF-83A3-29CA45FE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E62"/>
  </w:style>
  <w:style w:type="paragraph" w:styleId="Heading1">
    <w:name w:val="heading 1"/>
    <w:basedOn w:val="Normal"/>
    <w:next w:val="Normal"/>
    <w:link w:val="Heading1Char"/>
    <w:uiPriority w:val="9"/>
    <w:qFormat/>
    <w:rsid w:val="00202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8C9"/>
    <w:rPr>
      <w:rFonts w:eastAsiaTheme="majorEastAsia" w:cstheme="majorBidi"/>
      <w:color w:val="272727" w:themeColor="text1" w:themeTint="D8"/>
    </w:rPr>
  </w:style>
  <w:style w:type="paragraph" w:styleId="Title">
    <w:name w:val="Title"/>
    <w:basedOn w:val="Normal"/>
    <w:next w:val="Normal"/>
    <w:link w:val="TitleChar"/>
    <w:uiPriority w:val="10"/>
    <w:qFormat/>
    <w:rsid w:val="00202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8C9"/>
    <w:pPr>
      <w:spacing w:before="160"/>
      <w:jc w:val="center"/>
    </w:pPr>
    <w:rPr>
      <w:i/>
      <w:iCs/>
      <w:color w:val="404040" w:themeColor="text1" w:themeTint="BF"/>
    </w:rPr>
  </w:style>
  <w:style w:type="character" w:customStyle="1" w:styleId="QuoteChar">
    <w:name w:val="Quote Char"/>
    <w:basedOn w:val="DefaultParagraphFont"/>
    <w:link w:val="Quote"/>
    <w:uiPriority w:val="29"/>
    <w:rsid w:val="002028C9"/>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2028C9"/>
    <w:pPr>
      <w:ind w:left="720"/>
      <w:contextualSpacing/>
    </w:pPr>
  </w:style>
  <w:style w:type="character" w:styleId="IntenseEmphasis">
    <w:name w:val="Intense Emphasis"/>
    <w:basedOn w:val="DefaultParagraphFont"/>
    <w:uiPriority w:val="21"/>
    <w:qFormat/>
    <w:rsid w:val="002028C9"/>
    <w:rPr>
      <w:i/>
      <w:iCs/>
      <w:color w:val="0F4761" w:themeColor="accent1" w:themeShade="BF"/>
    </w:rPr>
  </w:style>
  <w:style w:type="paragraph" w:styleId="IntenseQuote">
    <w:name w:val="Intense Quote"/>
    <w:basedOn w:val="Normal"/>
    <w:next w:val="Normal"/>
    <w:link w:val="IntenseQuoteChar"/>
    <w:uiPriority w:val="30"/>
    <w:qFormat/>
    <w:rsid w:val="00202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8C9"/>
    <w:rPr>
      <w:i/>
      <w:iCs/>
      <w:color w:val="0F4761" w:themeColor="accent1" w:themeShade="BF"/>
    </w:rPr>
  </w:style>
  <w:style w:type="character" w:styleId="IntenseReference">
    <w:name w:val="Intense Reference"/>
    <w:basedOn w:val="DefaultParagraphFont"/>
    <w:uiPriority w:val="32"/>
    <w:qFormat/>
    <w:rsid w:val="002028C9"/>
    <w:rPr>
      <w:b/>
      <w:bCs/>
      <w:smallCaps/>
      <w:color w:val="0F4761" w:themeColor="accent1" w:themeShade="BF"/>
      <w:spacing w:val="5"/>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905593"/>
  </w:style>
  <w:style w:type="character" w:styleId="Hyperlink">
    <w:name w:val="Hyperlink"/>
    <w:basedOn w:val="DefaultParagraphFont"/>
    <w:uiPriority w:val="99"/>
    <w:unhideWhenUsed/>
    <w:rsid w:val="00986E15"/>
    <w:rPr>
      <w:color w:val="467886" w:themeColor="hyperlink"/>
      <w:u w:val="single"/>
    </w:rPr>
  </w:style>
  <w:style w:type="table" w:customStyle="1" w:styleId="TableGrid1">
    <w:name w:val="Table Grid1"/>
    <w:basedOn w:val="TableNormal"/>
    <w:next w:val="TableGrid"/>
    <w:rsid w:val="005B062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B0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369909003050855453m4195190892869225656msolistparagraph">
    <w:name w:val="m_-1369909003050855453m4195190892869225656msolistparagraph"/>
    <w:basedOn w:val="Normal"/>
    <w:rsid w:val="00F27F97"/>
    <w:pPr>
      <w:spacing w:before="100" w:beforeAutospacing="1" w:after="100" w:afterAutospacing="1" w:line="240" w:lineRule="auto"/>
    </w:pPr>
    <w:rPr>
      <w:rFonts w:ascii="Aptos" w:hAnsi="Aptos" w:cs="Aptos"/>
      <w:kern w:val="0"/>
      <w:lang w:eastAsia="en-GB"/>
      <w14:ligatures w14:val="none"/>
    </w:rPr>
  </w:style>
  <w:style w:type="paragraph" w:styleId="BodyText2">
    <w:name w:val="Body Text 2"/>
    <w:basedOn w:val="Normal"/>
    <w:link w:val="BodyText2Char"/>
    <w:rsid w:val="00E32C4A"/>
    <w:pPr>
      <w:spacing w:after="0" w:line="240" w:lineRule="auto"/>
    </w:pPr>
    <w:rPr>
      <w:rFonts w:ascii="Arial" w:eastAsia="Times New Roman" w:hAnsi="Arial" w:cs="Times New Roman"/>
      <w:b/>
      <w:bCs/>
      <w:kern w:val="0"/>
      <w:sz w:val="28"/>
      <w14:ligatures w14:val="none"/>
    </w:rPr>
  </w:style>
  <w:style w:type="character" w:customStyle="1" w:styleId="BodyText2Char">
    <w:name w:val="Body Text 2 Char"/>
    <w:basedOn w:val="DefaultParagraphFont"/>
    <w:link w:val="BodyText2"/>
    <w:rsid w:val="00E32C4A"/>
    <w:rPr>
      <w:rFonts w:ascii="Arial" w:eastAsia="Times New Roman" w:hAnsi="Arial" w:cs="Times New Roman"/>
      <w:b/>
      <w:bCs/>
      <w:kern w:val="0"/>
      <w:sz w:val="28"/>
      <w14:ligatures w14:val="none"/>
    </w:rPr>
  </w:style>
  <w:style w:type="paragraph" w:styleId="NormalWeb">
    <w:name w:val="Normal (Web)"/>
    <w:basedOn w:val="Normal"/>
    <w:uiPriority w:val="99"/>
    <w:unhideWhenUsed/>
    <w:rsid w:val="00370A5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370A53"/>
    <w:rPr>
      <w:i/>
      <w:iCs/>
    </w:rPr>
  </w:style>
  <w:style w:type="paragraph" w:customStyle="1" w:styleId="paragraph">
    <w:name w:val="paragraph"/>
    <w:basedOn w:val="Normal"/>
    <w:rsid w:val="00D4063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D40633"/>
  </w:style>
  <w:style w:type="paragraph" w:customStyle="1" w:styleId="p1">
    <w:name w:val="p1"/>
    <w:basedOn w:val="Normal"/>
    <w:rsid w:val="00D40633"/>
    <w:pPr>
      <w:spacing w:after="0" w:line="240" w:lineRule="auto"/>
    </w:pPr>
    <w:rPr>
      <w:rFonts w:ascii="Helvetica Neue" w:hAnsi="Helvetica Neue" w:cs="Times New Roman"/>
      <w:color w:val="454545"/>
      <w:kern w:val="0"/>
      <w:sz w:val="18"/>
      <w:szCs w:val="18"/>
      <w:lang w:eastAsia="en-GB"/>
      <w14:ligatures w14:val="none"/>
    </w:rPr>
  </w:style>
  <w:style w:type="paragraph" w:customStyle="1" w:styleId="Text">
    <w:name w:val="Text"/>
    <w:link w:val="TextChar"/>
    <w:rsid w:val="00D40633"/>
    <w:pPr>
      <w:spacing w:after="0" w:line="240" w:lineRule="auto"/>
    </w:pPr>
    <w:rPr>
      <w:rFonts w:ascii="Trebuchet MS" w:eastAsia="+mn-ea" w:hAnsi="Trebuchet MS" w:cs="+mn-cs"/>
      <w:color w:val="1B5833"/>
      <w:kern w:val="24"/>
      <w:szCs w:val="18"/>
      <w14:ligatures w14:val="none"/>
    </w:rPr>
  </w:style>
  <w:style w:type="character" w:customStyle="1" w:styleId="TextChar">
    <w:name w:val="Text Char"/>
    <w:basedOn w:val="DefaultParagraphFont"/>
    <w:link w:val="Text"/>
    <w:rsid w:val="00D40633"/>
    <w:rPr>
      <w:rFonts w:ascii="Trebuchet MS" w:eastAsia="+mn-ea" w:hAnsi="Trebuchet MS" w:cs="+mn-cs"/>
      <w:color w:val="1B5833"/>
      <w:kern w:val="24"/>
      <w:szCs w:val="18"/>
      <w14:ligatures w14:val="none"/>
    </w:rPr>
  </w:style>
  <w:style w:type="paragraph" w:styleId="NoSpacing">
    <w:name w:val="No Spacing"/>
    <w:uiPriority w:val="1"/>
    <w:qFormat/>
    <w:rsid w:val="00D40633"/>
    <w:pPr>
      <w:spacing w:after="0" w:line="240" w:lineRule="auto"/>
    </w:pPr>
    <w:rPr>
      <w:kern w:val="0"/>
      <w:sz w:val="22"/>
      <w:szCs w:val="22"/>
      <w14:ligatures w14:val="none"/>
    </w:rPr>
  </w:style>
  <w:style w:type="character" w:styleId="Strong">
    <w:name w:val="Strong"/>
    <w:basedOn w:val="DefaultParagraphFont"/>
    <w:uiPriority w:val="22"/>
    <w:qFormat/>
    <w:rsid w:val="00284C5D"/>
    <w:rPr>
      <w:b/>
      <w:bCs/>
    </w:rPr>
  </w:style>
  <w:style w:type="paragraph" w:customStyle="1" w:styleId="Default">
    <w:name w:val="Default"/>
    <w:rsid w:val="00F23189"/>
    <w:pPr>
      <w:autoSpaceDE w:val="0"/>
      <w:autoSpaceDN w:val="0"/>
      <w:adjustRightInd w:val="0"/>
      <w:spacing w:after="0" w:line="240" w:lineRule="auto"/>
    </w:pPr>
    <w:rPr>
      <w:rFonts w:ascii="Calibri" w:hAnsi="Calibri" w:cs="Calibri"/>
      <w:color w:val="000000"/>
      <w:kern w:val="0"/>
      <w14:ligatures w14:val="none"/>
    </w:rPr>
  </w:style>
  <w:style w:type="paragraph" w:styleId="Header">
    <w:name w:val="header"/>
    <w:basedOn w:val="Normal"/>
    <w:link w:val="HeaderChar"/>
    <w:uiPriority w:val="99"/>
    <w:unhideWhenUsed/>
    <w:rsid w:val="00364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2A1"/>
  </w:style>
  <w:style w:type="paragraph" w:styleId="Footer">
    <w:name w:val="footer"/>
    <w:basedOn w:val="Normal"/>
    <w:link w:val="FooterChar"/>
    <w:uiPriority w:val="99"/>
    <w:unhideWhenUsed/>
    <w:rsid w:val="00364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6285">
      <w:bodyDiv w:val="1"/>
      <w:marLeft w:val="0"/>
      <w:marRight w:val="0"/>
      <w:marTop w:val="0"/>
      <w:marBottom w:val="0"/>
      <w:divBdr>
        <w:top w:val="none" w:sz="0" w:space="0" w:color="auto"/>
        <w:left w:val="none" w:sz="0" w:space="0" w:color="auto"/>
        <w:bottom w:val="none" w:sz="0" w:space="0" w:color="auto"/>
        <w:right w:val="none" w:sz="0" w:space="0" w:color="auto"/>
      </w:divBdr>
    </w:div>
    <w:div w:id="177083098">
      <w:bodyDiv w:val="1"/>
      <w:marLeft w:val="0"/>
      <w:marRight w:val="0"/>
      <w:marTop w:val="0"/>
      <w:marBottom w:val="0"/>
      <w:divBdr>
        <w:top w:val="none" w:sz="0" w:space="0" w:color="auto"/>
        <w:left w:val="none" w:sz="0" w:space="0" w:color="auto"/>
        <w:bottom w:val="none" w:sz="0" w:space="0" w:color="auto"/>
        <w:right w:val="none" w:sz="0" w:space="0" w:color="auto"/>
      </w:divBdr>
      <w:divsChild>
        <w:div w:id="2105492640">
          <w:marLeft w:val="360"/>
          <w:marRight w:val="0"/>
          <w:marTop w:val="200"/>
          <w:marBottom w:val="0"/>
          <w:divBdr>
            <w:top w:val="none" w:sz="0" w:space="0" w:color="auto"/>
            <w:left w:val="none" w:sz="0" w:space="0" w:color="auto"/>
            <w:bottom w:val="none" w:sz="0" w:space="0" w:color="auto"/>
            <w:right w:val="none" w:sz="0" w:space="0" w:color="auto"/>
          </w:divBdr>
        </w:div>
        <w:div w:id="360058721">
          <w:marLeft w:val="360"/>
          <w:marRight w:val="0"/>
          <w:marTop w:val="200"/>
          <w:marBottom w:val="0"/>
          <w:divBdr>
            <w:top w:val="none" w:sz="0" w:space="0" w:color="auto"/>
            <w:left w:val="none" w:sz="0" w:space="0" w:color="auto"/>
            <w:bottom w:val="none" w:sz="0" w:space="0" w:color="auto"/>
            <w:right w:val="none" w:sz="0" w:space="0" w:color="auto"/>
          </w:divBdr>
        </w:div>
      </w:divsChild>
    </w:div>
    <w:div w:id="401757485">
      <w:bodyDiv w:val="1"/>
      <w:marLeft w:val="0"/>
      <w:marRight w:val="0"/>
      <w:marTop w:val="0"/>
      <w:marBottom w:val="0"/>
      <w:divBdr>
        <w:top w:val="none" w:sz="0" w:space="0" w:color="auto"/>
        <w:left w:val="none" w:sz="0" w:space="0" w:color="auto"/>
        <w:bottom w:val="none" w:sz="0" w:space="0" w:color="auto"/>
        <w:right w:val="none" w:sz="0" w:space="0" w:color="auto"/>
      </w:divBdr>
      <w:divsChild>
        <w:div w:id="41908902">
          <w:marLeft w:val="360"/>
          <w:marRight w:val="0"/>
          <w:marTop w:val="200"/>
          <w:marBottom w:val="0"/>
          <w:divBdr>
            <w:top w:val="none" w:sz="0" w:space="0" w:color="auto"/>
            <w:left w:val="none" w:sz="0" w:space="0" w:color="auto"/>
            <w:bottom w:val="none" w:sz="0" w:space="0" w:color="auto"/>
            <w:right w:val="none" w:sz="0" w:space="0" w:color="auto"/>
          </w:divBdr>
        </w:div>
        <w:div w:id="148719498">
          <w:marLeft w:val="360"/>
          <w:marRight w:val="0"/>
          <w:marTop w:val="200"/>
          <w:marBottom w:val="0"/>
          <w:divBdr>
            <w:top w:val="none" w:sz="0" w:space="0" w:color="auto"/>
            <w:left w:val="none" w:sz="0" w:space="0" w:color="auto"/>
            <w:bottom w:val="none" w:sz="0" w:space="0" w:color="auto"/>
            <w:right w:val="none" w:sz="0" w:space="0" w:color="auto"/>
          </w:divBdr>
        </w:div>
      </w:divsChild>
    </w:div>
    <w:div w:id="537740723">
      <w:bodyDiv w:val="1"/>
      <w:marLeft w:val="0"/>
      <w:marRight w:val="0"/>
      <w:marTop w:val="0"/>
      <w:marBottom w:val="0"/>
      <w:divBdr>
        <w:top w:val="none" w:sz="0" w:space="0" w:color="auto"/>
        <w:left w:val="none" w:sz="0" w:space="0" w:color="auto"/>
        <w:bottom w:val="none" w:sz="0" w:space="0" w:color="auto"/>
        <w:right w:val="none" w:sz="0" w:space="0" w:color="auto"/>
      </w:divBdr>
    </w:div>
    <w:div w:id="687681959">
      <w:bodyDiv w:val="1"/>
      <w:marLeft w:val="0"/>
      <w:marRight w:val="0"/>
      <w:marTop w:val="0"/>
      <w:marBottom w:val="0"/>
      <w:divBdr>
        <w:top w:val="none" w:sz="0" w:space="0" w:color="auto"/>
        <w:left w:val="none" w:sz="0" w:space="0" w:color="auto"/>
        <w:bottom w:val="none" w:sz="0" w:space="0" w:color="auto"/>
        <w:right w:val="none" w:sz="0" w:space="0" w:color="auto"/>
      </w:divBdr>
    </w:div>
    <w:div w:id="696077158">
      <w:bodyDiv w:val="1"/>
      <w:marLeft w:val="0"/>
      <w:marRight w:val="0"/>
      <w:marTop w:val="0"/>
      <w:marBottom w:val="0"/>
      <w:divBdr>
        <w:top w:val="none" w:sz="0" w:space="0" w:color="auto"/>
        <w:left w:val="none" w:sz="0" w:space="0" w:color="auto"/>
        <w:bottom w:val="none" w:sz="0" w:space="0" w:color="auto"/>
        <w:right w:val="none" w:sz="0" w:space="0" w:color="auto"/>
      </w:divBdr>
      <w:divsChild>
        <w:div w:id="986318637">
          <w:marLeft w:val="0"/>
          <w:marRight w:val="0"/>
          <w:marTop w:val="0"/>
          <w:marBottom w:val="0"/>
          <w:divBdr>
            <w:top w:val="none" w:sz="0" w:space="0" w:color="auto"/>
            <w:left w:val="none" w:sz="0" w:space="0" w:color="auto"/>
            <w:bottom w:val="none" w:sz="0" w:space="0" w:color="auto"/>
            <w:right w:val="none" w:sz="0" w:space="0" w:color="auto"/>
          </w:divBdr>
          <w:divsChild>
            <w:div w:id="1610314001">
              <w:marLeft w:val="0"/>
              <w:marRight w:val="0"/>
              <w:marTop w:val="0"/>
              <w:marBottom w:val="0"/>
              <w:divBdr>
                <w:top w:val="none" w:sz="0" w:space="0" w:color="auto"/>
                <w:left w:val="none" w:sz="0" w:space="0" w:color="auto"/>
                <w:bottom w:val="none" w:sz="0" w:space="0" w:color="auto"/>
                <w:right w:val="none" w:sz="0" w:space="0" w:color="auto"/>
              </w:divBdr>
            </w:div>
            <w:div w:id="1067611679">
              <w:marLeft w:val="0"/>
              <w:marRight w:val="0"/>
              <w:marTop w:val="0"/>
              <w:marBottom w:val="0"/>
              <w:divBdr>
                <w:top w:val="none" w:sz="0" w:space="0" w:color="auto"/>
                <w:left w:val="none" w:sz="0" w:space="0" w:color="auto"/>
                <w:bottom w:val="none" w:sz="0" w:space="0" w:color="auto"/>
                <w:right w:val="none" w:sz="0" w:space="0" w:color="auto"/>
              </w:divBdr>
            </w:div>
          </w:divsChild>
        </w:div>
        <w:div w:id="1704399605">
          <w:marLeft w:val="0"/>
          <w:marRight w:val="0"/>
          <w:marTop w:val="0"/>
          <w:marBottom w:val="0"/>
          <w:divBdr>
            <w:top w:val="none" w:sz="0" w:space="0" w:color="auto"/>
            <w:left w:val="none" w:sz="0" w:space="0" w:color="auto"/>
            <w:bottom w:val="none" w:sz="0" w:space="0" w:color="auto"/>
            <w:right w:val="none" w:sz="0" w:space="0" w:color="auto"/>
          </w:divBdr>
          <w:divsChild>
            <w:div w:id="1394038082">
              <w:marLeft w:val="0"/>
              <w:marRight w:val="0"/>
              <w:marTop w:val="0"/>
              <w:marBottom w:val="0"/>
              <w:divBdr>
                <w:top w:val="none" w:sz="0" w:space="0" w:color="auto"/>
                <w:left w:val="none" w:sz="0" w:space="0" w:color="auto"/>
                <w:bottom w:val="none" w:sz="0" w:space="0" w:color="auto"/>
                <w:right w:val="none" w:sz="0" w:space="0" w:color="auto"/>
              </w:divBdr>
            </w:div>
          </w:divsChild>
        </w:div>
        <w:div w:id="711078267">
          <w:marLeft w:val="0"/>
          <w:marRight w:val="0"/>
          <w:marTop w:val="0"/>
          <w:marBottom w:val="0"/>
          <w:divBdr>
            <w:top w:val="none" w:sz="0" w:space="0" w:color="auto"/>
            <w:left w:val="none" w:sz="0" w:space="0" w:color="auto"/>
            <w:bottom w:val="none" w:sz="0" w:space="0" w:color="auto"/>
            <w:right w:val="none" w:sz="0" w:space="0" w:color="auto"/>
          </w:divBdr>
          <w:divsChild>
            <w:div w:id="1517764502">
              <w:marLeft w:val="0"/>
              <w:marRight w:val="0"/>
              <w:marTop w:val="0"/>
              <w:marBottom w:val="0"/>
              <w:divBdr>
                <w:top w:val="none" w:sz="0" w:space="0" w:color="auto"/>
                <w:left w:val="none" w:sz="0" w:space="0" w:color="auto"/>
                <w:bottom w:val="none" w:sz="0" w:space="0" w:color="auto"/>
                <w:right w:val="none" w:sz="0" w:space="0" w:color="auto"/>
              </w:divBdr>
            </w:div>
            <w:div w:id="132019338">
              <w:marLeft w:val="0"/>
              <w:marRight w:val="0"/>
              <w:marTop w:val="0"/>
              <w:marBottom w:val="0"/>
              <w:divBdr>
                <w:top w:val="none" w:sz="0" w:space="0" w:color="auto"/>
                <w:left w:val="none" w:sz="0" w:space="0" w:color="auto"/>
                <w:bottom w:val="none" w:sz="0" w:space="0" w:color="auto"/>
                <w:right w:val="none" w:sz="0" w:space="0" w:color="auto"/>
              </w:divBdr>
            </w:div>
            <w:div w:id="1441954017">
              <w:marLeft w:val="0"/>
              <w:marRight w:val="0"/>
              <w:marTop w:val="0"/>
              <w:marBottom w:val="0"/>
              <w:divBdr>
                <w:top w:val="none" w:sz="0" w:space="0" w:color="auto"/>
                <w:left w:val="none" w:sz="0" w:space="0" w:color="auto"/>
                <w:bottom w:val="none" w:sz="0" w:space="0" w:color="auto"/>
                <w:right w:val="none" w:sz="0" w:space="0" w:color="auto"/>
              </w:divBdr>
            </w:div>
            <w:div w:id="119694146">
              <w:marLeft w:val="0"/>
              <w:marRight w:val="0"/>
              <w:marTop w:val="0"/>
              <w:marBottom w:val="0"/>
              <w:divBdr>
                <w:top w:val="none" w:sz="0" w:space="0" w:color="auto"/>
                <w:left w:val="none" w:sz="0" w:space="0" w:color="auto"/>
                <w:bottom w:val="none" w:sz="0" w:space="0" w:color="auto"/>
                <w:right w:val="none" w:sz="0" w:space="0" w:color="auto"/>
              </w:divBdr>
            </w:div>
            <w:div w:id="1655065853">
              <w:marLeft w:val="0"/>
              <w:marRight w:val="0"/>
              <w:marTop w:val="0"/>
              <w:marBottom w:val="0"/>
              <w:divBdr>
                <w:top w:val="none" w:sz="0" w:space="0" w:color="auto"/>
                <w:left w:val="none" w:sz="0" w:space="0" w:color="auto"/>
                <w:bottom w:val="none" w:sz="0" w:space="0" w:color="auto"/>
                <w:right w:val="none" w:sz="0" w:space="0" w:color="auto"/>
              </w:divBdr>
            </w:div>
            <w:div w:id="848061494">
              <w:marLeft w:val="0"/>
              <w:marRight w:val="0"/>
              <w:marTop w:val="0"/>
              <w:marBottom w:val="0"/>
              <w:divBdr>
                <w:top w:val="none" w:sz="0" w:space="0" w:color="auto"/>
                <w:left w:val="none" w:sz="0" w:space="0" w:color="auto"/>
                <w:bottom w:val="none" w:sz="0" w:space="0" w:color="auto"/>
                <w:right w:val="none" w:sz="0" w:space="0" w:color="auto"/>
              </w:divBdr>
            </w:div>
            <w:div w:id="1285574007">
              <w:marLeft w:val="0"/>
              <w:marRight w:val="0"/>
              <w:marTop w:val="0"/>
              <w:marBottom w:val="0"/>
              <w:divBdr>
                <w:top w:val="none" w:sz="0" w:space="0" w:color="auto"/>
                <w:left w:val="none" w:sz="0" w:space="0" w:color="auto"/>
                <w:bottom w:val="none" w:sz="0" w:space="0" w:color="auto"/>
                <w:right w:val="none" w:sz="0" w:space="0" w:color="auto"/>
              </w:divBdr>
            </w:div>
            <w:div w:id="2108887553">
              <w:marLeft w:val="0"/>
              <w:marRight w:val="0"/>
              <w:marTop w:val="0"/>
              <w:marBottom w:val="0"/>
              <w:divBdr>
                <w:top w:val="none" w:sz="0" w:space="0" w:color="auto"/>
                <w:left w:val="none" w:sz="0" w:space="0" w:color="auto"/>
                <w:bottom w:val="none" w:sz="0" w:space="0" w:color="auto"/>
                <w:right w:val="none" w:sz="0" w:space="0" w:color="auto"/>
              </w:divBdr>
            </w:div>
            <w:div w:id="1954744679">
              <w:marLeft w:val="0"/>
              <w:marRight w:val="0"/>
              <w:marTop w:val="0"/>
              <w:marBottom w:val="0"/>
              <w:divBdr>
                <w:top w:val="none" w:sz="0" w:space="0" w:color="auto"/>
                <w:left w:val="none" w:sz="0" w:space="0" w:color="auto"/>
                <w:bottom w:val="none" w:sz="0" w:space="0" w:color="auto"/>
                <w:right w:val="none" w:sz="0" w:space="0" w:color="auto"/>
              </w:divBdr>
            </w:div>
            <w:div w:id="924454066">
              <w:marLeft w:val="0"/>
              <w:marRight w:val="0"/>
              <w:marTop w:val="0"/>
              <w:marBottom w:val="0"/>
              <w:divBdr>
                <w:top w:val="none" w:sz="0" w:space="0" w:color="auto"/>
                <w:left w:val="none" w:sz="0" w:space="0" w:color="auto"/>
                <w:bottom w:val="none" w:sz="0" w:space="0" w:color="auto"/>
                <w:right w:val="none" w:sz="0" w:space="0" w:color="auto"/>
              </w:divBdr>
            </w:div>
            <w:div w:id="2133792042">
              <w:marLeft w:val="0"/>
              <w:marRight w:val="0"/>
              <w:marTop w:val="0"/>
              <w:marBottom w:val="0"/>
              <w:divBdr>
                <w:top w:val="none" w:sz="0" w:space="0" w:color="auto"/>
                <w:left w:val="none" w:sz="0" w:space="0" w:color="auto"/>
                <w:bottom w:val="none" w:sz="0" w:space="0" w:color="auto"/>
                <w:right w:val="none" w:sz="0" w:space="0" w:color="auto"/>
              </w:divBdr>
            </w:div>
            <w:div w:id="2021393346">
              <w:marLeft w:val="0"/>
              <w:marRight w:val="0"/>
              <w:marTop w:val="0"/>
              <w:marBottom w:val="0"/>
              <w:divBdr>
                <w:top w:val="none" w:sz="0" w:space="0" w:color="auto"/>
                <w:left w:val="none" w:sz="0" w:space="0" w:color="auto"/>
                <w:bottom w:val="none" w:sz="0" w:space="0" w:color="auto"/>
                <w:right w:val="none" w:sz="0" w:space="0" w:color="auto"/>
              </w:divBdr>
            </w:div>
            <w:div w:id="705564071">
              <w:marLeft w:val="0"/>
              <w:marRight w:val="0"/>
              <w:marTop w:val="0"/>
              <w:marBottom w:val="0"/>
              <w:divBdr>
                <w:top w:val="none" w:sz="0" w:space="0" w:color="auto"/>
                <w:left w:val="none" w:sz="0" w:space="0" w:color="auto"/>
                <w:bottom w:val="none" w:sz="0" w:space="0" w:color="auto"/>
                <w:right w:val="none" w:sz="0" w:space="0" w:color="auto"/>
              </w:divBdr>
            </w:div>
            <w:div w:id="1183132993">
              <w:marLeft w:val="0"/>
              <w:marRight w:val="0"/>
              <w:marTop w:val="0"/>
              <w:marBottom w:val="0"/>
              <w:divBdr>
                <w:top w:val="none" w:sz="0" w:space="0" w:color="auto"/>
                <w:left w:val="none" w:sz="0" w:space="0" w:color="auto"/>
                <w:bottom w:val="none" w:sz="0" w:space="0" w:color="auto"/>
                <w:right w:val="none" w:sz="0" w:space="0" w:color="auto"/>
              </w:divBdr>
            </w:div>
          </w:divsChild>
        </w:div>
        <w:div w:id="2069113703">
          <w:marLeft w:val="0"/>
          <w:marRight w:val="0"/>
          <w:marTop w:val="0"/>
          <w:marBottom w:val="0"/>
          <w:divBdr>
            <w:top w:val="none" w:sz="0" w:space="0" w:color="auto"/>
            <w:left w:val="none" w:sz="0" w:space="0" w:color="auto"/>
            <w:bottom w:val="none" w:sz="0" w:space="0" w:color="auto"/>
            <w:right w:val="none" w:sz="0" w:space="0" w:color="auto"/>
          </w:divBdr>
          <w:divsChild>
            <w:div w:id="1108426081">
              <w:marLeft w:val="0"/>
              <w:marRight w:val="0"/>
              <w:marTop w:val="0"/>
              <w:marBottom w:val="0"/>
              <w:divBdr>
                <w:top w:val="none" w:sz="0" w:space="0" w:color="auto"/>
                <w:left w:val="none" w:sz="0" w:space="0" w:color="auto"/>
                <w:bottom w:val="none" w:sz="0" w:space="0" w:color="auto"/>
                <w:right w:val="none" w:sz="0" w:space="0" w:color="auto"/>
              </w:divBdr>
            </w:div>
            <w:div w:id="1031222321">
              <w:marLeft w:val="0"/>
              <w:marRight w:val="0"/>
              <w:marTop w:val="0"/>
              <w:marBottom w:val="0"/>
              <w:divBdr>
                <w:top w:val="none" w:sz="0" w:space="0" w:color="auto"/>
                <w:left w:val="none" w:sz="0" w:space="0" w:color="auto"/>
                <w:bottom w:val="none" w:sz="0" w:space="0" w:color="auto"/>
                <w:right w:val="none" w:sz="0" w:space="0" w:color="auto"/>
              </w:divBdr>
            </w:div>
            <w:div w:id="1559513797">
              <w:marLeft w:val="0"/>
              <w:marRight w:val="0"/>
              <w:marTop w:val="0"/>
              <w:marBottom w:val="0"/>
              <w:divBdr>
                <w:top w:val="none" w:sz="0" w:space="0" w:color="auto"/>
                <w:left w:val="none" w:sz="0" w:space="0" w:color="auto"/>
                <w:bottom w:val="none" w:sz="0" w:space="0" w:color="auto"/>
                <w:right w:val="none" w:sz="0" w:space="0" w:color="auto"/>
              </w:divBdr>
            </w:div>
          </w:divsChild>
        </w:div>
        <w:div w:id="1162624936">
          <w:marLeft w:val="0"/>
          <w:marRight w:val="0"/>
          <w:marTop w:val="0"/>
          <w:marBottom w:val="0"/>
          <w:divBdr>
            <w:top w:val="none" w:sz="0" w:space="0" w:color="auto"/>
            <w:left w:val="none" w:sz="0" w:space="0" w:color="auto"/>
            <w:bottom w:val="none" w:sz="0" w:space="0" w:color="auto"/>
            <w:right w:val="none" w:sz="0" w:space="0" w:color="auto"/>
          </w:divBdr>
          <w:divsChild>
            <w:div w:id="826476109">
              <w:marLeft w:val="0"/>
              <w:marRight w:val="0"/>
              <w:marTop w:val="0"/>
              <w:marBottom w:val="0"/>
              <w:divBdr>
                <w:top w:val="none" w:sz="0" w:space="0" w:color="auto"/>
                <w:left w:val="none" w:sz="0" w:space="0" w:color="auto"/>
                <w:bottom w:val="none" w:sz="0" w:space="0" w:color="auto"/>
                <w:right w:val="none" w:sz="0" w:space="0" w:color="auto"/>
              </w:divBdr>
            </w:div>
            <w:div w:id="978728128">
              <w:marLeft w:val="0"/>
              <w:marRight w:val="0"/>
              <w:marTop w:val="0"/>
              <w:marBottom w:val="0"/>
              <w:divBdr>
                <w:top w:val="none" w:sz="0" w:space="0" w:color="auto"/>
                <w:left w:val="none" w:sz="0" w:space="0" w:color="auto"/>
                <w:bottom w:val="none" w:sz="0" w:space="0" w:color="auto"/>
                <w:right w:val="none" w:sz="0" w:space="0" w:color="auto"/>
              </w:divBdr>
            </w:div>
          </w:divsChild>
        </w:div>
        <w:div w:id="96488787">
          <w:marLeft w:val="0"/>
          <w:marRight w:val="0"/>
          <w:marTop w:val="0"/>
          <w:marBottom w:val="0"/>
          <w:divBdr>
            <w:top w:val="none" w:sz="0" w:space="0" w:color="auto"/>
            <w:left w:val="none" w:sz="0" w:space="0" w:color="auto"/>
            <w:bottom w:val="none" w:sz="0" w:space="0" w:color="auto"/>
            <w:right w:val="none" w:sz="0" w:space="0" w:color="auto"/>
          </w:divBdr>
          <w:divsChild>
            <w:div w:id="563223073">
              <w:marLeft w:val="0"/>
              <w:marRight w:val="0"/>
              <w:marTop w:val="0"/>
              <w:marBottom w:val="0"/>
              <w:divBdr>
                <w:top w:val="none" w:sz="0" w:space="0" w:color="auto"/>
                <w:left w:val="none" w:sz="0" w:space="0" w:color="auto"/>
                <w:bottom w:val="none" w:sz="0" w:space="0" w:color="auto"/>
                <w:right w:val="none" w:sz="0" w:space="0" w:color="auto"/>
              </w:divBdr>
            </w:div>
          </w:divsChild>
        </w:div>
        <w:div w:id="1133449332">
          <w:marLeft w:val="0"/>
          <w:marRight w:val="0"/>
          <w:marTop w:val="0"/>
          <w:marBottom w:val="0"/>
          <w:divBdr>
            <w:top w:val="none" w:sz="0" w:space="0" w:color="auto"/>
            <w:left w:val="none" w:sz="0" w:space="0" w:color="auto"/>
            <w:bottom w:val="none" w:sz="0" w:space="0" w:color="auto"/>
            <w:right w:val="none" w:sz="0" w:space="0" w:color="auto"/>
          </w:divBdr>
          <w:divsChild>
            <w:div w:id="144247452">
              <w:marLeft w:val="0"/>
              <w:marRight w:val="0"/>
              <w:marTop w:val="0"/>
              <w:marBottom w:val="0"/>
              <w:divBdr>
                <w:top w:val="none" w:sz="0" w:space="0" w:color="auto"/>
                <w:left w:val="none" w:sz="0" w:space="0" w:color="auto"/>
                <w:bottom w:val="none" w:sz="0" w:space="0" w:color="auto"/>
                <w:right w:val="none" w:sz="0" w:space="0" w:color="auto"/>
              </w:divBdr>
            </w:div>
            <w:div w:id="144392195">
              <w:marLeft w:val="0"/>
              <w:marRight w:val="0"/>
              <w:marTop w:val="0"/>
              <w:marBottom w:val="0"/>
              <w:divBdr>
                <w:top w:val="none" w:sz="0" w:space="0" w:color="auto"/>
                <w:left w:val="none" w:sz="0" w:space="0" w:color="auto"/>
                <w:bottom w:val="none" w:sz="0" w:space="0" w:color="auto"/>
                <w:right w:val="none" w:sz="0" w:space="0" w:color="auto"/>
              </w:divBdr>
            </w:div>
          </w:divsChild>
        </w:div>
        <w:div w:id="904603484">
          <w:marLeft w:val="0"/>
          <w:marRight w:val="0"/>
          <w:marTop w:val="0"/>
          <w:marBottom w:val="0"/>
          <w:divBdr>
            <w:top w:val="none" w:sz="0" w:space="0" w:color="auto"/>
            <w:left w:val="none" w:sz="0" w:space="0" w:color="auto"/>
            <w:bottom w:val="none" w:sz="0" w:space="0" w:color="auto"/>
            <w:right w:val="none" w:sz="0" w:space="0" w:color="auto"/>
          </w:divBdr>
          <w:divsChild>
            <w:div w:id="9116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01553">
      <w:bodyDiv w:val="1"/>
      <w:marLeft w:val="0"/>
      <w:marRight w:val="0"/>
      <w:marTop w:val="0"/>
      <w:marBottom w:val="0"/>
      <w:divBdr>
        <w:top w:val="none" w:sz="0" w:space="0" w:color="auto"/>
        <w:left w:val="none" w:sz="0" w:space="0" w:color="auto"/>
        <w:bottom w:val="none" w:sz="0" w:space="0" w:color="auto"/>
        <w:right w:val="none" w:sz="0" w:space="0" w:color="auto"/>
      </w:divBdr>
    </w:div>
    <w:div w:id="1130704996">
      <w:bodyDiv w:val="1"/>
      <w:marLeft w:val="0"/>
      <w:marRight w:val="0"/>
      <w:marTop w:val="0"/>
      <w:marBottom w:val="0"/>
      <w:divBdr>
        <w:top w:val="none" w:sz="0" w:space="0" w:color="auto"/>
        <w:left w:val="none" w:sz="0" w:space="0" w:color="auto"/>
        <w:bottom w:val="none" w:sz="0" w:space="0" w:color="auto"/>
        <w:right w:val="none" w:sz="0" w:space="0" w:color="auto"/>
      </w:divBdr>
      <w:divsChild>
        <w:div w:id="1180120575">
          <w:marLeft w:val="360"/>
          <w:marRight w:val="0"/>
          <w:marTop w:val="200"/>
          <w:marBottom w:val="0"/>
          <w:divBdr>
            <w:top w:val="none" w:sz="0" w:space="0" w:color="auto"/>
            <w:left w:val="none" w:sz="0" w:space="0" w:color="auto"/>
            <w:bottom w:val="none" w:sz="0" w:space="0" w:color="auto"/>
            <w:right w:val="none" w:sz="0" w:space="0" w:color="auto"/>
          </w:divBdr>
        </w:div>
        <w:div w:id="1151946918">
          <w:marLeft w:val="360"/>
          <w:marRight w:val="0"/>
          <w:marTop w:val="200"/>
          <w:marBottom w:val="0"/>
          <w:divBdr>
            <w:top w:val="none" w:sz="0" w:space="0" w:color="auto"/>
            <w:left w:val="none" w:sz="0" w:space="0" w:color="auto"/>
            <w:bottom w:val="none" w:sz="0" w:space="0" w:color="auto"/>
            <w:right w:val="none" w:sz="0" w:space="0" w:color="auto"/>
          </w:divBdr>
        </w:div>
        <w:div w:id="2129615812">
          <w:marLeft w:val="360"/>
          <w:marRight w:val="0"/>
          <w:marTop w:val="200"/>
          <w:marBottom w:val="0"/>
          <w:divBdr>
            <w:top w:val="none" w:sz="0" w:space="0" w:color="auto"/>
            <w:left w:val="none" w:sz="0" w:space="0" w:color="auto"/>
            <w:bottom w:val="none" w:sz="0" w:space="0" w:color="auto"/>
            <w:right w:val="none" w:sz="0" w:space="0" w:color="auto"/>
          </w:divBdr>
        </w:div>
        <w:div w:id="15276252">
          <w:marLeft w:val="360"/>
          <w:marRight w:val="0"/>
          <w:marTop w:val="200"/>
          <w:marBottom w:val="0"/>
          <w:divBdr>
            <w:top w:val="none" w:sz="0" w:space="0" w:color="auto"/>
            <w:left w:val="none" w:sz="0" w:space="0" w:color="auto"/>
            <w:bottom w:val="none" w:sz="0" w:space="0" w:color="auto"/>
            <w:right w:val="none" w:sz="0" w:space="0" w:color="auto"/>
          </w:divBdr>
        </w:div>
      </w:divsChild>
    </w:div>
    <w:div w:id="1244922806">
      <w:bodyDiv w:val="1"/>
      <w:marLeft w:val="0"/>
      <w:marRight w:val="0"/>
      <w:marTop w:val="0"/>
      <w:marBottom w:val="0"/>
      <w:divBdr>
        <w:top w:val="none" w:sz="0" w:space="0" w:color="auto"/>
        <w:left w:val="none" w:sz="0" w:space="0" w:color="auto"/>
        <w:bottom w:val="none" w:sz="0" w:space="0" w:color="auto"/>
        <w:right w:val="none" w:sz="0" w:space="0" w:color="auto"/>
      </w:divBdr>
    </w:div>
    <w:div w:id="1344166830">
      <w:bodyDiv w:val="1"/>
      <w:marLeft w:val="0"/>
      <w:marRight w:val="0"/>
      <w:marTop w:val="0"/>
      <w:marBottom w:val="0"/>
      <w:divBdr>
        <w:top w:val="none" w:sz="0" w:space="0" w:color="auto"/>
        <w:left w:val="none" w:sz="0" w:space="0" w:color="auto"/>
        <w:bottom w:val="none" w:sz="0" w:space="0" w:color="auto"/>
        <w:right w:val="none" w:sz="0" w:space="0" w:color="auto"/>
      </w:divBdr>
      <w:divsChild>
        <w:div w:id="572740439">
          <w:marLeft w:val="360"/>
          <w:marRight w:val="0"/>
          <w:marTop w:val="200"/>
          <w:marBottom w:val="0"/>
          <w:divBdr>
            <w:top w:val="none" w:sz="0" w:space="0" w:color="auto"/>
            <w:left w:val="none" w:sz="0" w:space="0" w:color="auto"/>
            <w:bottom w:val="none" w:sz="0" w:space="0" w:color="auto"/>
            <w:right w:val="none" w:sz="0" w:space="0" w:color="auto"/>
          </w:divBdr>
        </w:div>
        <w:div w:id="441151074">
          <w:marLeft w:val="360"/>
          <w:marRight w:val="0"/>
          <w:marTop w:val="200"/>
          <w:marBottom w:val="0"/>
          <w:divBdr>
            <w:top w:val="none" w:sz="0" w:space="0" w:color="auto"/>
            <w:left w:val="none" w:sz="0" w:space="0" w:color="auto"/>
            <w:bottom w:val="none" w:sz="0" w:space="0" w:color="auto"/>
            <w:right w:val="none" w:sz="0" w:space="0" w:color="auto"/>
          </w:divBdr>
        </w:div>
        <w:div w:id="487794047">
          <w:marLeft w:val="360"/>
          <w:marRight w:val="0"/>
          <w:marTop w:val="200"/>
          <w:marBottom w:val="0"/>
          <w:divBdr>
            <w:top w:val="none" w:sz="0" w:space="0" w:color="auto"/>
            <w:left w:val="none" w:sz="0" w:space="0" w:color="auto"/>
            <w:bottom w:val="none" w:sz="0" w:space="0" w:color="auto"/>
            <w:right w:val="none" w:sz="0" w:space="0" w:color="auto"/>
          </w:divBdr>
        </w:div>
        <w:div w:id="65806335">
          <w:marLeft w:val="360"/>
          <w:marRight w:val="0"/>
          <w:marTop w:val="200"/>
          <w:marBottom w:val="0"/>
          <w:divBdr>
            <w:top w:val="none" w:sz="0" w:space="0" w:color="auto"/>
            <w:left w:val="none" w:sz="0" w:space="0" w:color="auto"/>
            <w:bottom w:val="none" w:sz="0" w:space="0" w:color="auto"/>
            <w:right w:val="none" w:sz="0" w:space="0" w:color="auto"/>
          </w:divBdr>
        </w:div>
        <w:div w:id="422844660">
          <w:marLeft w:val="360"/>
          <w:marRight w:val="0"/>
          <w:marTop w:val="200"/>
          <w:marBottom w:val="0"/>
          <w:divBdr>
            <w:top w:val="none" w:sz="0" w:space="0" w:color="auto"/>
            <w:left w:val="none" w:sz="0" w:space="0" w:color="auto"/>
            <w:bottom w:val="none" w:sz="0" w:space="0" w:color="auto"/>
            <w:right w:val="none" w:sz="0" w:space="0" w:color="auto"/>
          </w:divBdr>
        </w:div>
      </w:divsChild>
    </w:div>
    <w:div w:id="1428619317">
      <w:bodyDiv w:val="1"/>
      <w:marLeft w:val="0"/>
      <w:marRight w:val="0"/>
      <w:marTop w:val="0"/>
      <w:marBottom w:val="0"/>
      <w:divBdr>
        <w:top w:val="none" w:sz="0" w:space="0" w:color="auto"/>
        <w:left w:val="none" w:sz="0" w:space="0" w:color="auto"/>
        <w:bottom w:val="none" w:sz="0" w:space="0" w:color="auto"/>
        <w:right w:val="none" w:sz="0" w:space="0" w:color="auto"/>
      </w:divBdr>
    </w:div>
    <w:div w:id="1595625501">
      <w:bodyDiv w:val="1"/>
      <w:marLeft w:val="0"/>
      <w:marRight w:val="0"/>
      <w:marTop w:val="0"/>
      <w:marBottom w:val="0"/>
      <w:divBdr>
        <w:top w:val="none" w:sz="0" w:space="0" w:color="auto"/>
        <w:left w:val="none" w:sz="0" w:space="0" w:color="auto"/>
        <w:bottom w:val="none" w:sz="0" w:space="0" w:color="auto"/>
        <w:right w:val="none" w:sz="0" w:space="0" w:color="auto"/>
      </w:divBdr>
    </w:div>
    <w:div w:id="1902910076">
      <w:bodyDiv w:val="1"/>
      <w:marLeft w:val="0"/>
      <w:marRight w:val="0"/>
      <w:marTop w:val="0"/>
      <w:marBottom w:val="0"/>
      <w:divBdr>
        <w:top w:val="none" w:sz="0" w:space="0" w:color="auto"/>
        <w:left w:val="none" w:sz="0" w:space="0" w:color="auto"/>
        <w:bottom w:val="none" w:sz="0" w:space="0" w:color="auto"/>
        <w:right w:val="none" w:sz="0" w:space="0" w:color="auto"/>
      </w:divBdr>
      <w:divsChild>
        <w:div w:id="811561571">
          <w:marLeft w:val="360"/>
          <w:marRight w:val="0"/>
          <w:marTop w:val="200"/>
          <w:marBottom w:val="0"/>
          <w:divBdr>
            <w:top w:val="none" w:sz="0" w:space="0" w:color="auto"/>
            <w:left w:val="none" w:sz="0" w:space="0" w:color="auto"/>
            <w:bottom w:val="none" w:sz="0" w:space="0" w:color="auto"/>
            <w:right w:val="none" w:sz="0" w:space="0" w:color="auto"/>
          </w:divBdr>
        </w:div>
        <w:div w:id="1016266911">
          <w:marLeft w:val="360"/>
          <w:marRight w:val="0"/>
          <w:marTop w:val="200"/>
          <w:marBottom w:val="0"/>
          <w:divBdr>
            <w:top w:val="none" w:sz="0" w:space="0" w:color="auto"/>
            <w:left w:val="none" w:sz="0" w:space="0" w:color="auto"/>
            <w:bottom w:val="none" w:sz="0" w:space="0" w:color="auto"/>
            <w:right w:val="none" w:sz="0" w:space="0" w:color="auto"/>
          </w:divBdr>
        </w:div>
        <w:div w:id="923341478">
          <w:marLeft w:val="360"/>
          <w:marRight w:val="0"/>
          <w:marTop w:val="200"/>
          <w:marBottom w:val="0"/>
          <w:divBdr>
            <w:top w:val="none" w:sz="0" w:space="0" w:color="auto"/>
            <w:left w:val="none" w:sz="0" w:space="0" w:color="auto"/>
            <w:bottom w:val="none" w:sz="0" w:space="0" w:color="auto"/>
            <w:right w:val="none" w:sz="0" w:space="0" w:color="auto"/>
          </w:divBdr>
        </w:div>
        <w:div w:id="1468740971">
          <w:marLeft w:val="360"/>
          <w:marRight w:val="0"/>
          <w:marTop w:val="200"/>
          <w:marBottom w:val="0"/>
          <w:divBdr>
            <w:top w:val="none" w:sz="0" w:space="0" w:color="auto"/>
            <w:left w:val="none" w:sz="0" w:space="0" w:color="auto"/>
            <w:bottom w:val="none" w:sz="0" w:space="0" w:color="auto"/>
            <w:right w:val="none" w:sz="0" w:space="0" w:color="auto"/>
          </w:divBdr>
        </w:div>
      </w:divsChild>
    </w:div>
    <w:div w:id="192113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centralbedfordshirecouncil.sharepoint.com/:b:/s/ExternalCommunications/ETm-Teo4SztOoz5BDQ6V3mYB-voH1aAlaLOjKcJcDs5PPw?e=i1mD5p"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www.safeaiforchildren.org/ai-risks-to-children-guide-for-parent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centralbedfordshirecouncil.sharepoint.com/:b:/s/ExternalCommunications/ERs9BFQJ5rJIuPYz_9BEFC4BgyApNWiPXY33xJCZoj_L6g?e=jgKAJh" TargetMode="External"/><Relationship Id="rId25" Type="http://schemas.openxmlformats.org/officeDocument/2006/relationships/hyperlink" Target="https://safeguardingbedfordshire.org.uk/p/report-a-concern/escalating-concerns" TargetMode="External"/><Relationship Id="rId33"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yperlink" Target="https://centralbedfordshirecouncil.sharepoint.com/:b:/s/ExternalCommunications/EXs6E-3Ly6FBrEUrzPKYnkQB4TxXNSFZamj1HTno8jQrKg?e=H6UhcU" TargetMode="External"/><Relationship Id="rId20" Type="http://schemas.openxmlformats.org/officeDocument/2006/relationships/hyperlink" Target="https://centralbedfordshirecouncil.sharepoint.com/:b:/s/ExternalCommunications/EWNfIS65gHFMkdfTb19e9o8BgAFkGVyRFWjnywiEjbC0rA?e=JyRddz"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ntralbedfordshire.localinsight.org/" TargetMode="External"/><Relationship Id="rId24" Type="http://schemas.openxmlformats.org/officeDocument/2006/relationships/footer" Target="footer1.xml"/><Relationship Id="rId32"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s://safeguardingbedfordshire.org.uk/assets/b3a83ecf/pan_beds_neglect_strategy_2023_-_2026_v5_06.06.23.docx" TargetMode="External"/><Relationship Id="rId23" Type="http://schemas.openxmlformats.org/officeDocument/2006/relationships/image" Target="media/image5.png"/><Relationship Id="rId28" Type="http://schemas.openxmlformats.org/officeDocument/2006/relationships/image" Target="media/image8.png"/><Relationship Id="rId10" Type="http://schemas.openxmlformats.org/officeDocument/2006/relationships/hyperlink" Target="https://www.police.uk/pu/your-area/bedfordshire-police/performance/compare-your-area/?tc=CB1" TargetMode="External"/><Relationship Id="rId19" Type="http://schemas.openxmlformats.org/officeDocument/2006/relationships/hyperlink" Target="https://centralbedfordshirecouncil.sharepoint.com/:b:/s/ExternalCommunications/ETd4owTrsWtLrDAc1x2loGIBVI5pOW9RVbush0Fb1exu7A?e=BI79Bs" TargetMode="Externa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www.centralbedfordshire.gov.uk/info/27/about_your_council/180/statistics_and_census_information/5" TargetMode="External"/><Relationship Id="rId14" Type="http://schemas.openxmlformats.org/officeDocument/2006/relationships/image" Target="media/image4.png"/><Relationship Id="rId22" Type="http://schemas.openxmlformats.org/officeDocument/2006/relationships/hyperlink" Target="https://www.safeaiforchildren.org/ai-risks-to-children-guide-for-parents/"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F7A6D-75E4-40C7-98F6-D2E9A646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56</Pages>
  <Words>14497</Words>
  <Characters>82347</Characters>
  <Application>Microsoft Office Word</Application>
  <DocSecurity>0</DocSecurity>
  <Lines>2839</Lines>
  <Paragraphs>968</Paragraphs>
  <ScaleCrop>false</ScaleCrop>
  <HeadingPairs>
    <vt:vector size="2" baseType="variant">
      <vt:variant>
        <vt:lpstr>Title</vt:lpstr>
      </vt:variant>
      <vt:variant>
        <vt:i4>1</vt:i4>
      </vt:variant>
    </vt:vector>
  </HeadingPairs>
  <TitlesOfParts>
    <vt:vector size="1" baseType="lpstr">
      <vt:lpstr/>
    </vt:vector>
  </TitlesOfParts>
  <Company>Central Bedfordshire Council</Company>
  <LinksUpToDate>false</LinksUpToDate>
  <CharactersWithSpaces>95876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 Scott</dc:creator>
  <cp:keywords/>
  <dc:description/>
  <cp:lastModifiedBy>Phillipa Scott</cp:lastModifiedBy>
  <cp:revision>637</cp:revision>
  <dcterms:created xsi:type="dcterms:W3CDTF">2025-05-19T10:46:00Z</dcterms:created>
  <dcterms:modified xsi:type="dcterms:W3CDTF">2025-09-25T09:35:00Z</dcterms:modified>
</cp:coreProperties>
</file>